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DFF7" w14:textId="05D2009B" w:rsidR="001968CD" w:rsidRPr="00CE1D74" w:rsidRDefault="001968CD" w:rsidP="00B705CA">
      <w:pPr>
        <w:pStyle w:val="NoSpacing"/>
        <w:rPr>
          <w:rFonts w:ascii="Open Sans" w:hAnsi="Open Sans" w:cs="Open Sans"/>
          <w:b/>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B968D1">
        <w:rPr>
          <w:rFonts w:ascii="Open Sans" w:hAnsi="Open Sans" w:cs="Open Sans"/>
          <w:b/>
        </w:rPr>
        <w:t>Board Governance</w:t>
      </w:r>
    </w:p>
    <w:p w14:paraId="5ADEC116" w14:textId="2F361915" w:rsidR="00C01D95" w:rsidRPr="00CE1D74" w:rsidRDefault="00C01D95" w:rsidP="00F84430">
      <w:pPr>
        <w:pStyle w:val="NoSpacing"/>
        <w:tabs>
          <w:tab w:val="left" w:pos="1800"/>
        </w:tabs>
        <w:rPr>
          <w:rFonts w:ascii="Open Sans" w:hAnsi="Open Sans" w:cs="Open Sans"/>
        </w:rPr>
      </w:pPr>
      <w:r w:rsidRPr="00CE1D74">
        <w:rPr>
          <w:rFonts w:ascii="Open Sans" w:hAnsi="Open Sans" w:cs="Open Sans"/>
        </w:rPr>
        <w:t>Policy Holder:</w:t>
      </w:r>
      <w:r w:rsidRPr="00CE1D74">
        <w:rPr>
          <w:rFonts w:ascii="Open Sans" w:hAnsi="Open Sans" w:cs="Open Sans"/>
        </w:rPr>
        <w:tab/>
      </w:r>
      <w:r w:rsidR="00B705CA">
        <w:rPr>
          <w:rFonts w:ascii="Open Sans" w:hAnsi="Open Sans" w:cs="Open Sans"/>
        </w:rPr>
        <w:tab/>
      </w:r>
      <w:r w:rsidR="00B968D1">
        <w:rPr>
          <w:rFonts w:ascii="Open Sans" w:hAnsi="Open Sans" w:cs="Open Sans"/>
        </w:rPr>
        <w:t>Board of Governors</w:t>
      </w:r>
    </w:p>
    <w:p w14:paraId="4786DBD6" w14:textId="044A9D10"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7E0695" w:rsidRPr="00CE1D74">
        <w:rPr>
          <w:rFonts w:ascii="Open Sans" w:hAnsi="Open Sans" w:cs="Open Sans"/>
        </w:rPr>
        <w:t>Board</w:t>
      </w:r>
    </w:p>
    <w:p w14:paraId="1EF17A97" w14:textId="3955CEA2"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E1393F">
        <w:rPr>
          <w:rFonts w:ascii="Open Sans" w:hAnsi="Open Sans" w:cs="Open Sans"/>
        </w:rPr>
        <w:t>December 2012</w:t>
      </w:r>
    </w:p>
    <w:p w14:paraId="4CBA431F" w14:textId="4454A75D"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661461">
        <w:rPr>
          <w:rFonts w:ascii="Open Sans" w:hAnsi="Open Sans" w:cs="Open Sans"/>
        </w:rPr>
        <w:t>March 2021</w:t>
      </w:r>
    </w:p>
    <w:p w14:paraId="30F8A2D0" w14:textId="529759B4" w:rsidR="001968CD" w:rsidRPr="00CE1D74" w:rsidRDefault="0052301E" w:rsidP="00F84430">
      <w:pPr>
        <w:pStyle w:val="NoSpacing"/>
        <w:tabs>
          <w:tab w:val="left" w:pos="1800"/>
        </w:tabs>
        <w:rPr>
          <w:rFonts w:ascii="Open Sans" w:hAnsi="Open Sans" w:cs="Open Sans"/>
          <w:sz w:val="14"/>
        </w:rPr>
      </w:pPr>
      <w:r w:rsidRPr="00CE1D74">
        <w:rPr>
          <w:rFonts w:ascii="Open Sans" w:hAnsi="Open Sans" w:cs="Open Sans"/>
        </w:rPr>
        <w:t xml:space="preserve">Next </w:t>
      </w:r>
      <w:r w:rsidR="001968CD" w:rsidRPr="00CE1D74">
        <w:rPr>
          <w:rFonts w:ascii="Open Sans" w:hAnsi="Open Sans" w:cs="Open Sans"/>
        </w:rPr>
        <w:t>Review:</w:t>
      </w:r>
      <w:r w:rsidR="001968CD" w:rsidRPr="00CE1D74">
        <w:rPr>
          <w:rFonts w:ascii="Open Sans" w:hAnsi="Open Sans" w:cs="Open Sans"/>
        </w:rPr>
        <w:tab/>
      </w:r>
      <w:r w:rsidR="00437541">
        <w:rPr>
          <w:rFonts w:ascii="Open Sans" w:hAnsi="Open Sans" w:cs="Open Sans"/>
        </w:rPr>
        <w:tab/>
        <w:t>June</w:t>
      </w:r>
      <w:r w:rsidR="00A9330D">
        <w:rPr>
          <w:rFonts w:ascii="Open Sans" w:hAnsi="Open Sans" w:cs="Open Sans"/>
        </w:rPr>
        <w:t xml:space="preserve"> </w:t>
      </w:r>
      <w:r w:rsidR="008C5CA8">
        <w:rPr>
          <w:rFonts w:ascii="Open Sans" w:hAnsi="Open Sans" w:cs="Open Sans"/>
        </w:rPr>
        <w:t>2023</w:t>
      </w:r>
    </w:p>
    <w:p w14:paraId="044E5346" w14:textId="77777777" w:rsidR="001968CD" w:rsidRPr="00CE1D74" w:rsidRDefault="001968CD" w:rsidP="001968CD">
      <w:pPr>
        <w:pBdr>
          <w:bottom w:val="single" w:sz="6" w:space="1" w:color="auto"/>
        </w:pBdr>
        <w:rPr>
          <w:rFonts w:ascii="Open Sans" w:hAnsi="Open Sans" w:cs="Open Sans"/>
          <w:b/>
        </w:rPr>
      </w:pPr>
    </w:p>
    <w:p w14:paraId="5BF2AA78" w14:textId="645502DF" w:rsidR="001968CD" w:rsidRPr="00CE1D74" w:rsidRDefault="00E61C40" w:rsidP="00E61C40">
      <w:pPr>
        <w:tabs>
          <w:tab w:val="left" w:pos="2620"/>
        </w:tabs>
        <w:rPr>
          <w:rFonts w:ascii="Open Sans" w:hAnsi="Open Sans" w:cs="Open Sans"/>
          <w:b/>
        </w:rPr>
      </w:pPr>
      <w:r>
        <w:rPr>
          <w:rFonts w:ascii="Open Sans" w:hAnsi="Open Sans" w:cs="Open Sans"/>
          <w:b/>
        </w:rPr>
        <w:tab/>
      </w:r>
    </w:p>
    <w:p w14:paraId="5F5975C0" w14:textId="1B4FB580" w:rsidR="001968CD" w:rsidRPr="00CE1D74" w:rsidRDefault="001968CD" w:rsidP="001968CD">
      <w:pPr>
        <w:rPr>
          <w:rFonts w:ascii="Open Sans" w:hAnsi="Open Sans" w:cs="Open Sans"/>
          <w:b/>
        </w:rPr>
      </w:pPr>
      <w:r w:rsidRPr="00CE1D74">
        <w:rPr>
          <w:rFonts w:ascii="Open Sans" w:hAnsi="Open Sans" w:cs="Open Sans"/>
          <w:b/>
        </w:rPr>
        <w:t>Policy Statement</w:t>
      </w:r>
    </w:p>
    <w:p w14:paraId="25B41518" w14:textId="3B0C2CE2" w:rsidR="001968CD" w:rsidRPr="00CE1D74" w:rsidRDefault="001968CD" w:rsidP="001968CD">
      <w:pPr>
        <w:rPr>
          <w:rFonts w:ascii="Open Sans" w:hAnsi="Open Sans" w:cs="Open Sans"/>
        </w:rPr>
      </w:pPr>
    </w:p>
    <w:p w14:paraId="4889ECAD" w14:textId="77777777" w:rsidR="00512638" w:rsidRPr="00512638" w:rsidRDefault="00512638" w:rsidP="00512638">
      <w:pPr>
        <w:spacing w:after="200" w:line="276" w:lineRule="auto"/>
        <w:rPr>
          <w:rFonts w:ascii="Open Sans" w:hAnsi="Open Sans" w:cs="Open Sans"/>
          <w:szCs w:val="22"/>
          <w:lang w:val="en-CA"/>
        </w:rPr>
      </w:pPr>
      <w:r w:rsidRPr="00512638">
        <w:rPr>
          <w:rFonts w:ascii="Open Sans" w:hAnsi="Open Sans" w:cs="Open Sans"/>
          <w:szCs w:val="22"/>
          <w:lang w:val="en-CA"/>
        </w:rPr>
        <w:t xml:space="preserve">The Board’s Governance Committee is established with the purpose of carrying out regular reviews of Board policies. </w:t>
      </w:r>
    </w:p>
    <w:p w14:paraId="2BB02E36" w14:textId="194ECA92" w:rsidR="00165A9B" w:rsidRDefault="00512638" w:rsidP="00512638">
      <w:pPr>
        <w:spacing w:after="200" w:line="276" w:lineRule="auto"/>
        <w:rPr>
          <w:rFonts w:ascii="Open Sans" w:hAnsi="Open Sans" w:cs="Open Sans"/>
          <w:szCs w:val="22"/>
          <w:lang w:val="en-CA"/>
        </w:rPr>
      </w:pPr>
      <w:r w:rsidRPr="00512638">
        <w:rPr>
          <w:rFonts w:ascii="Open Sans" w:hAnsi="Open Sans" w:cs="Open Sans"/>
          <w:szCs w:val="22"/>
          <w:lang w:val="en-CA"/>
        </w:rPr>
        <w:t xml:space="preserve">The Governance Committee will operate under the attached Terms of Reference which will be attached to </w:t>
      </w:r>
      <w:r w:rsidR="00881D2C">
        <w:rPr>
          <w:rFonts w:ascii="Open Sans" w:hAnsi="Open Sans" w:cs="Open Sans"/>
          <w:szCs w:val="22"/>
          <w:lang w:val="en-CA"/>
        </w:rPr>
        <w:t>BOG</w:t>
      </w:r>
      <w:r w:rsidR="00881D2C" w:rsidRPr="00512638">
        <w:rPr>
          <w:rFonts w:ascii="Open Sans" w:hAnsi="Open Sans" w:cs="Open Sans"/>
          <w:szCs w:val="22"/>
          <w:lang w:val="en-CA"/>
        </w:rPr>
        <w:t xml:space="preserve"> </w:t>
      </w:r>
      <w:r w:rsidRPr="00512638">
        <w:rPr>
          <w:rFonts w:ascii="Open Sans" w:hAnsi="Open Sans" w:cs="Open Sans"/>
          <w:szCs w:val="22"/>
          <w:lang w:val="en-CA"/>
        </w:rPr>
        <w:t>6</w:t>
      </w:r>
      <w:r w:rsidR="007C4674">
        <w:rPr>
          <w:rFonts w:ascii="Open Sans" w:hAnsi="Open Sans" w:cs="Open Sans"/>
          <w:szCs w:val="22"/>
          <w:lang w:val="en-CA"/>
        </w:rPr>
        <w:t>.0</w:t>
      </w:r>
      <w:r w:rsidRPr="00512638">
        <w:rPr>
          <w:rFonts w:ascii="Open Sans" w:hAnsi="Open Sans" w:cs="Open Sans"/>
          <w:szCs w:val="22"/>
          <w:lang w:val="en-CA"/>
        </w:rPr>
        <w:t>.</w:t>
      </w:r>
    </w:p>
    <w:p w14:paraId="74537B03" w14:textId="2EABFCE9" w:rsidR="004B53A4" w:rsidRDefault="004B53A4" w:rsidP="004B53A4">
      <w:pPr>
        <w:spacing w:line="276" w:lineRule="auto"/>
        <w:rPr>
          <w:rFonts w:ascii="Open Sans" w:hAnsi="Open Sans" w:cs="Open Sans"/>
          <w:szCs w:val="22"/>
          <w:lang w:val="en-CA"/>
        </w:rPr>
      </w:pPr>
      <w:r w:rsidRPr="004B53A4">
        <w:rPr>
          <w:rFonts w:ascii="Open Sans" w:hAnsi="Open Sans" w:cs="Open Sans"/>
          <w:szCs w:val="22"/>
          <w:lang w:val="en-CA"/>
        </w:rPr>
        <w:t xml:space="preserve">As per Board Bylaw 10.0 pertaining to bylaw amendments: </w:t>
      </w:r>
    </w:p>
    <w:p w14:paraId="171231EA" w14:textId="77777777" w:rsidR="00A23F68" w:rsidRDefault="00A23F68" w:rsidP="004B53A4">
      <w:pPr>
        <w:spacing w:line="276" w:lineRule="auto"/>
        <w:rPr>
          <w:rFonts w:ascii="Open Sans" w:hAnsi="Open Sans" w:cs="Open Sans"/>
          <w:szCs w:val="22"/>
          <w:lang w:val="en-CA"/>
        </w:rPr>
      </w:pPr>
    </w:p>
    <w:tbl>
      <w:tblPr>
        <w:tblStyle w:val="TableGrid"/>
        <w:tblW w:w="0" w:type="auto"/>
        <w:shd w:val="clear" w:color="auto" w:fill="E7E6E6" w:themeFill="background2"/>
        <w:tblLook w:val="04A0" w:firstRow="1" w:lastRow="0" w:firstColumn="1" w:lastColumn="0" w:noHBand="0" w:noVBand="1"/>
      </w:tblPr>
      <w:tblGrid>
        <w:gridCol w:w="9350"/>
      </w:tblGrid>
      <w:tr w:rsidR="00226550" w14:paraId="4361FD62" w14:textId="77777777" w:rsidTr="00F31447">
        <w:tc>
          <w:tcPr>
            <w:tcW w:w="9576" w:type="dxa"/>
            <w:shd w:val="clear" w:color="auto" w:fill="E7E6E6" w:themeFill="background2"/>
          </w:tcPr>
          <w:p w14:paraId="0CC5637B" w14:textId="77777777" w:rsidR="00226550" w:rsidRPr="00226550" w:rsidRDefault="00226550" w:rsidP="00F31447">
            <w:pPr>
              <w:tabs>
                <w:tab w:val="left" w:pos="-1440"/>
              </w:tabs>
              <w:spacing w:line="276" w:lineRule="auto"/>
              <w:ind w:left="720" w:hanging="720"/>
              <w:jc w:val="both"/>
              <w:outlineLvl w:val="0"/>
              <w:rPr>
                <w:rFonts w:ascii="Open Sans" w:hAnsi="Open Sans" w:cs="Open Sans"/>
                <w:szCs w:val="22"/>
                <w:lang w:val="en-GB"/>
              </w:rPr>
            </w:pPr>
            <w:r w:rsidRPr="00226550">
              <w:rPr>
                <w:rFonts w:ascii="Open Sans" w:hAnsi="Open Sans" w:cs="Open Sans"/>
                <w:b/>
                <w:bCs/>
                <w:szCs w:val="22"/>
                <w:lang w:val="en-GB"/>
              </w:rPr>
              <w:t>10.0</w:t>
            </w:r>
            <w:r w:rsidRPr="00226550">
              <w:rPr>
                <w:rFonts w:ascii="Open Sans" w:hAnsi="Open Sans" w:cs="Open Sans"/>
                <w:b/>
                <w:bCs/>
                <w:szCs w:val="22"/>
                <w:lang w:val="en-GB"/>
              </w:rPr>
              <w:tab/>
              <w:t>AMENDMENTS TO BYLAWS</w:t>
            </w:r>
          </w:p>
          <w:p w14:paraId="340CB9B8" w14:textId="77777777" w:rsidR="00226550" w:rsidRPr="00226550" w:rsidRDefault="00226550" w:rsidP="00F31447">
            <w:pPr>
              <w:tabs>
                <w:tab w:val="left" w:pos="-1440"/>
              </w:tabs>
              <w:spacing w:line="276" w:lineRule="auto"/>
              <w:ind w:left="720" w:hanging="720"/>
              <w:jc w:val="both"/>
              <w:rPr>
                <w:rFonts w:ascii="Open Sans" w:hAnsi="Open Sans" w:cs="Open Sans"/>
                <w:szCs w:val="22"/>
                <w:lang w:val="en-GB"/>
              </w:rPr>
            </w:pPr>
            <w:r w:rsidRPr="00226550">
              <w:rPr>
                <w:rFonts w:ascii="Open Sans" w:hAnsi="Open Sans" w:cs="Open Sans"/>
                <w:szCs w:val="22"/>
                <w:lang w:val="en-GB"/>
              </w:rPr>
              <w:t>10.1</w:t>
            </w:r>
            <w:r w:rsidRPr="00226550">
              <w:rPr>
                <w:rFonts w:ascii="Open Sans" w:hAnsi="Open Sans" w:cs="Open Sans"/>
                <w:szCs w:val="22"/>
                <w:lang w:val="en-GB"/>
              </w:rPr>
              <w:tab/>
              <w:t>No existing or new bylaw shall be amended or repealed except after one month's notice of motion has been given setting out the proposed amendment(s), together with reasons for the amendment(s) to or deletion of any bylaw.</w:t>
            </w:r>
          </w:p>
          <w:p w14:paraId="673DA7FA" w14:textId="77777777" w:rsidR="00226550" w:rsidRDefault="00226550" w:rsidP="00F31447">
            <w:pPr>
              <w:widowControl w:val="0"/>
              <w:tabs>
                <w:tab w:val="left" w:pos="-1080"/>
                <w:tab w:val="left" w:pos="-720"/>
                <w:tab w:val="left" w:pos="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Cs w:val="22"/>
              </w:rPr>
            </w:pPr>
          </w:p>
        </w:tc>
      </w:tr>
    </w:tbl>
    <w:p w14:paraId="4C46BF21" w14:textId="77777777" w:rsidR="004B53A4" w:rsidRPr="004B53A4" w:rsidRDefault="004B53A4" w:rsidP="004B53A4">
      <w:pPr>
        <w:spacing w:line="276" w:lineRule="auto"/>
        <w:rPr>
          <w:rFonts w:ascii="Open Sans" w:hAnsi="Open Sans" w:cs="Open Sans"/>
          <w:szCs w:val="22"/>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19494DFF" w14:textId="0098FE2B" w:rsidR="001968CD" w:rsidRPr="00CE1D74" w:rsidRDefault="001968CD" w:rsidP="007523BF">
      <w:pPr>
        <w:spacing w:line="276" w:lineRule="auto"/>
        <w:rPr>
          <w:rFonts w:ascii="Open Sans" w:hAnsi="Open Sans" w:cs="Open Sans"/>
        </w:rPr>
      </w:pPr>
      <w:r w:rsidRPr="00CE1D74">
        <w:rPr>
          <w:rFonts w:ascii="Open Sans" w:hAnsi="Open Sans" w:cs="Open Sans"/>
        </w:rPr>
        <w:t xml:space="preserve">With the consent of the </w:t>
      </w:r>
      <w:r w:rsidR="007523BF" w:rsidRPr="00CE1D74">
        <w:rPr>
          <w:rFonts w:ascii="Open Sans" w:hAnsi="Open Sans" w:cs="Open Sans"/>
        </w:rPr>
        <w:t>Board of Governors</w:t>
      </w:r>
      <w:r w:rsidRPr="00CE1D74">
        <w:rPr>
          <w:rFonts w:ascii="Open Sans" w:hAnsi="Open Sans" w:cs="Open Sans"/>
        </w:rPr>
        <w:t xml:space="preserve"> and approval of the </w:t>
      </w:r>
      <w:r w:rsidR="00DC64DE" w:rsidRPr="00CE1D74">
        <w:rPr>
          <w:rFonts w:ascii="Open Sans" w:hAnsi="Open Sans" w:cs="Open Sans"/>
        </w:rPr>
        <w:t>Chair of the Board of Governors</w:t>
      </w:r>
      <w:r w:rsidR="009A44E8" w:rsidRPr="00CE1D74">
        <w:rPr>
          <w:rFonts w:ascii="Open Sans" w:hAnsi="Open Sans" w:cs="Open Sans"/>
        </w:rPr>
        <w:t xml:space="preserve">, </w:t>
      </w:r>
      <w:r w:rsidRPr="00CE1D74">
        <w:rPr>
          <w:rFonts w:ascii="Open Sans" w:hAnsi="Open Sans" w:cs="Open Sans"/>
        </w:rPr>
        <w:t>this policy is hereby deemed in effect the</w:t>
      </w:r>
      <w:r w:rsidR="006261BB">
        <w:rPr>
          <w:rFonts w:ascii="Open Sans" w:hAnsi="Open Sans" w:cs="Open Sans"/>
        </w:rPr>
        <w:t xml:space="preserve"> </w:t>
      </w:r>
      <w:r w:rsidR="000915B8">
        <w:rPr>
          <w:rFonts w:ascii="Open Sans" w:hAnsi="Open Sans" w:cs="Open Sans"/>
        </w:rPr>
        <w:t>19</w:t>
      </w:r>
      <w:r w:rsidR="007A73E6" w:rsidRPr="007A73E6">
        <w:rPr>
          <w:rFonts w:ascii="Open Sans" w:hAnsi="Open Sans" w:cs="Open Sans"/>
          <w:vertAlign w:val="superscript"/>
        </w:rPr>
        <w:t>th</w:t>
      </w:r>
      <w:r w:rsidR="007A73E6">
        <w:rPr>
          <w:rFonts w:ascii="Open Sans" w:hAnsi="Open Sans" w:cs="Open Sans"/>
        </w:rPr>
        <w:t xml:space="preserve"> </w:t>
      </w:r>
      <w:r w:rsidRPr="00CE1D74">
        <w:rPr>
          <w:rFonts w:ascii="Open Sans" w:hAnsi="Open Sans" w:cs="Open Sans"/>
        </w:rPr>
        <w:t xml:space="preserve">day of </w:t>
      </w:r>
      <w:r w:rsidR="000915B8">
        <w:rPr>
          <w:rFonts w:ascii="Open Sans" w:hAnsi="Open Sans" w:cs="Open Sans"/>
        </w:rPr>
        <w:t>March</w:t>
      </w:r>
      <w:r w:rsidRPr="00CE1D74">
        <w:rPr>
          <w:rFonts w:ascii="Open Sans" w:hAnsi="Open Sans" w:cs="Open Sans"/>
        </w:rPr>
        <w:t xml:space="preserve">, </w:t>
      </w:r>
      <w:r w:rsidR="00640890">
        <w:rPr>
          <w:rFonts w:ascii="Open Sans" w:hAnsi="Open Sans" w:cs="Open Sans"/>
        </w:rPr>
        <w:t>202</w:t>
      </w:r>
      <w:r w:rsidR="000915B8">
        <w:rPr>
          <w:rFonts w:ascii="Open Sans" w:hAnsi="Open Sans" w:cs="Open Sans"/>
        </w:rPr>
        <w:t>1</w:t>
      </w:r>
      <w:r w:rsidRPr="00CE1D74">
        <w:rPr>
          <w:rFonts w:ascii="Open Sans" w:hAnsi="Open Sans" w:cs="Open Sans"/>
        </w:rPr>
        <w:t>.</w:t>
      </w:r>
    </w:p>
    <w:p w14:paraId="2C41E763" w14:textId="124DF785" w:rsidR="001968CD" w:rsidRPr="00CE1D74" w:rsidRDefault="001968CD" w:rsidP="001968CD">
      <w:pPr>
        <w:rPr>
          <w:rFonts w:ascii="Open Sans" w:hAnsi="Open Sans" w:cs="Open Sans"/>
        </w:rPr>
      </w:pPr>
    </w:p>
    <w:p w14:paraId="775679D5" w14:textId="0D5307B6" w:rsidR="001968CD" w:rsidRPr="004A32F8" w:rsidRDefault="007001E7" w:rsidP="00EF03C4">
      <w:pPr>
        <w:tabs>
          <w:tab w:val="center" w:pos="4680"/>
        </w:tabs>
        <w:rPr>
          <w:rFonts w:ascii="Open Sans" w:hAnsi="Open Sans" w:cs="Open Sans"/>
          <w:u w:val="single"/>
        </w:rPr>
      </w:pPr>
      <w:r>
        <w:rPr>
          <w:rFonts w:ascii="Open Sans" w:hAnsi="Open Sans" w:cs="Open Sans"/>
          <w:noProof/>
          <w:u w:val="single"/>
        </w:rPr>
        <w:drawing>
          <wp:inline distT="0" distB="0" distL="0" distR="0" wp14:anchorId="26E1038E" wp14:editId="4FEF5E34">
            <wp:extent cx="1216308" cy="285750"/>
            <wp:effectExtent l="0" t="0" r="3175"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9792" cy="288918"/>
                    </a:xfrm>
                    <a:prstGeom prst="rect">
                      <a:avLst/>
                    </a:prstGeom>
                  </pic:spPr>
                </pic:pic>
              </a:graphicData>
            </a:graphic>
          </wp:inline>
        </w:drawing>
      </w:r>
      <w:r w:rsidR="005D5BF7">
        <w:rPr>
          <w:rFonts w:ascii="Open Sans" w:hAnsi="Open Sans" w:cs="Open Sans"/>
          <w:u w:val="single"/>
        </w:rPr>
        <w:tab/>
      </w:r>
      <w:r w:rsidR="00EF03C4">
        <w:rPr>
          <w:rFonts w:ascii="Open Sans" w:hAnsi="Open Sans" w:cs="Open Sans"/>
        </w:rPr>
        <w:t xml:space="preserve">    </w:t>
      </w:r>
      <w:r w:rsidR="005D5BF7">
        <w:rPr>
          <w:rFonts w:ascii="Open Sans" w:hAnsi="Open Sans" w:cs="Open Sans"/>
        </w:rPr>
        <w:t xml:space="preserve">           </w:t>
      </w:r>
      <w:r w:rsidR="00461DA4">
        <w:rPr>
          <w:rFonts w:ascii="Open Sans" w:hAnsi="Open Sans" w:cs="Open Sans"/>
          <w:u w:val="single"/>
        </w:rPr>
        <w:t>March 19</w:t>
      </w:r>
      <w:r w:rsidR="00461DA4" w:rsidRPr="009E7625">
        <w:rPr>
          <w:rFonts w:ascii="Open Sans" w:hAnsi="Open Sans" w:cs="Open Sans"/>
          <w:u w:val="single"/>
          <w:vertAlign w:val="superscript"/>
        </w:rPr>
        <w:t>th</w:t>
      </w:r>
      <w:r w:rsidR="00461DA4">
        <w:rPr>
          <w:rFonts w:ascii="Open Sans" w:hAnsi="Open Sans" w:cs="Open Sans"/>
          <w:u w:val="single"/>
        </w:rPr>
        <w:t xml:space="preserve">, </w:t>
      </w:r>
      <w:r w:rsidR="000915B8">
        <w:rPr>
          <w:rFonts w:ascii="Open Sans" w:hAnsi="Open Sans" w:cs="Open Sans"/>
          <w:u w:val="single"/>
        </w:rPr>
        <w:t>2021</w:t>
      </w:r>
      <w:r w:rsidR="005D5BF7">
        <w:rPr>
          <w:rFonts w:ascii="Open Sans" w:hAnsi="Open Sans" w:cs="Open Sans"/>
          <w:u w:val="single"/>
        </w:rPr>
        <w:tab/>
      </w:r>
      <w:r w:rsidR="005D5BF7">
        <w:rPr>
          <w:rFonts w:ascii="Open Sans" w:hAnsi="Open Sans" w:cs="Open Sans"/>
          <w:u w:val="single"/>
        </w:rPr>
        <w:tab/>
      </w:r>
    </w:p>
    <w:p w14:paraId="4B8CDB69" w14:textId="574925CB" w:rsidR="001968CD" w:rsidRPr="00640890" w:rsidRDefault="00640890" w:rsidP="00640890">
      <w:pPr>
        <w:rPr>
          <w:rFonts w:ascii="Open Sans" w:hAnsi="Open Sans" w:cs="Open Sans"/>
          <w:szCs w:val="22"/>
        </w:rPr>
      </w:pPr>
      <w:r w:rsidRPr="00CE1D74">
        <w:rPr>
          <w:rFonts w:ascii="Open Sans" w:hAnsi="Open Sans" w:cs="Open Sans"/>
          <w:szCs w:val="22"/>
        </w:rPr>
        <w:t>Chair, Board of Governors</w:t>
      </w:r>
      <w:r>
        <w:rPr>
          <w:rFonts w:ascii="Open Sans" w:hAnsi="Open Sans" w:cs="Open Sans"/>
          <w:szCs w:val="22"/>
        </w:rPr>
        <w:tab/>
      </w:r>
      <w:r>
        <w:rPr>
          <w:rFonts w:ascii="Open Sans" w:hAnsi="Open Sans" w:cs="Open Sans"/>
          <w:szCs w:val="22"/>
        </w:rPr>
        <w:tab/>
      </w:r>
      <w:r>
        <w:rPr>
          <w:rFonts w:ascii="Open Sans" w:hAnsi="Open Sans" w:cs="Open Sans"/>
          <w:szCs w:val="22"/>
        </w:rPr>
        <w:tab/>
      </w:r>
      <w:r w:rsidR="001968CD" w:rsidRPr="00CE1D74">
        <w:rPr>
          <w:rFonts w:ascii="Open Sans" w:hAnsi="Open Sans" w:cs="Open Sans"/>
        </w:rPr>
        <w:t>Date</w:t>
      </w:r>
    </w:p>
    <w:p w14:paraId="1760E844" w14:textId="4593A064" w:rsidR="00DC64DE" w:rsidRPr="00CE1D74" w:rsidRDefault="00DC64DE">
      <w:pPr>
        <w:rPr>
          <w:rFonts w:ascii="Open Sans" w:hAnsi="Open Sans" w:cs="Open Sans"/>
          <w:szCs w:val="22"/>
        </w:rPr>
      </w:pPr>
    </w:p>
    <w:p w14:paraId="6C9774F0" w14:textId="6580DFF6" w:rsidR="002E0AB2" w:rsidRDefault="002E0AB2" w:rsidP="00A9320D">
      <w:pPr>
        <w:pStyle w:val="ListParagraph"/>
        <w:spacing w:after="120" w:line="276" w:lineRule="auto"/>
        <w:ind w:left="0"/>
        <w:contextualSpacing w:val="0"/>
        <w:rPr>
          <w:rFonts w:ascii="Open Sans" w:hAnsi="Open Sans" w:cs="Open Sans"/>
          <w:b/>
          <w:szCs w:val="22"/>
        </w:rPr>
      </w:pPr>
      <w:r>
        <w:rPr>
          <w:rFonts w:ascii="Open Sans" w:hAnsi="Open Sans" w:cs="Open Sans"/>
          <w:b/>
          <w:szCs w:val="22"/>
        </w:rPr>
        <w:t>Scope and Limitations of the President</w:t>
      </w:r>
    </w:p>
    <w:p w14:paraId="458836B9" w14:textId="4FF70C6A" w:rsidR="00CC2F69" w:rsidRPr="00CE1D74" w:rsidRDefault="007E0717" w:rsidP="007E0717">
      <w:pPr>
        <w:pStyle w:val="ListParagraph"/>
        <w:spacing w:after="200" w:line="276" w:lineRule="auto"/>
        <w:ind w:left="0"/>
        <w:contextualSpacing w:val="0"/>
        <w:rPr>
          <w:rFonts w:ascii="Open Sans" w:hAnsi="Open Sans" w:cs="Open Sans"/>
          <w:b/>
          <w:szCs w:val="22"/>
        </w:rPr>
      </w:pPr>
      <w:r w:rsidRPr="007E0717">
        <w:rPr>
          <w:rFonts w:ascii="Open Sans" w:hAnsi="Open Sans" w:cs="Open Sans"/>
          <w:bCs/>
          <w:szCs w:val="22"/>
        </w:rPr>
        <w:t>Not applicable.</w:t>
      </w:r>
      <w:r w:rsidR="00CC2F69" w:rsidRPr="00CE1D74">
        <w:rPr>
          <w:rFonts w:ascii="Open Sans" w:hAnsi="Open Sans" w:cs="Open Sans"/>
          <w:b/>
          <w:szCs w:val="22"/>
        </w:rPr>
        <w:br w:type="page"/>
      </w:r>
    </w:p>
    <w:p w14:paraId="2B86C714" w14:textId="42BC7415" w:rsidR="00EA46D8" w:rsidRDefault="00EA46D8" w:rsidP="00EA46D8">
      <w:pPr>
        <w:pStyle w:val="ListParagraph"/>
        <w:spacing w:after="200" w:line="276" w:lineRule="auto"/>
        <w:ind w:left="0"/>
        <w:contextualSpacing w:val="0"/>
        <w:rPr>
          <w:rFonts w:ascii="Open Sans" w:hAnsi="Open Sans" w:cs="Open Sans"/>
          <w:b/>
          <w:szCs w:val="22"/>
        </w:rPr>
      </w:pPr>
      <w:r>
        <w:rPr>
          <w:rFonts w:ascii="Open Sans" w:hAnsi="Open Sans" w:cs="Open Sans"/>
          <w:b/>
          <w:szCs w:val="22"/>
        </w:rPr>
        <w:lastRenderedPageBreak/>
        <w:t xml:space="preserve">Addendum A – Terms </w:t>
      </w:r>
      <w:r w:rsidR="00C066FA">
        <w:rPr>
          <w:rFonts w:ascii="Open Sans" w:hAnsi="Open Sans" w:cs="Open Sans"/>
          <w:b/>
          <w:szCs w:val="22"/>
        </w:rPr>
        <w:t>of Reference for the Governance Committee</w:t>
      </w:r>
    </w:p>
    <w:p w14:paraId="5A843AD9" w14:textId="6EB872CB" w:rsidR="001968CD" w:rsidRPr="00CE1D74" w:rsidRDefault="001968CD" w:rsidP="002C0D14">
      <w:pPr>
        <w:pStyle w:val="ListParagraph"/>
        <w:numPr>
          <w:ilvl w:val="0"/>
          <w:numId w:val="1"/>
        </w:numPr>
        <w:spacing w:after="200" w:line="276" w:lineRule="auto"/>
        <w:ind w:left="0"/>
        <w:contextualSpacing w:val="0"/>
        <w:rPr>
          <w:rFonts w:ascii="Open Sans" w:hAnsi="Open Sans" w:cs="Open Sans"/>
          <w:b/>
          <w:szCs w:val="22"/>
        </w:rPr>
      </w:pPr>
      <w:r w:rsidRPr="00CE1D74">
        <w:rPr>
          <w:rFonts w:ascii="Open Sans" w:hAnsi="Open Sans" w:cs="Open Sans"/>
          <w:b/>
          <w:szCs w:val="22"/>
        </w:rPr>
        <w:t>Purpose</w:t>
      </w:r>
    </w:p>
    <w:p w14:paraId="1DB44414" w14:textId="60229754" w:rsidR="00602F60" w:rsidRDefault="00602F60" w:rsidP="00FF27E2">
      <w:pPr>
        <w:spacing w:after="200" w:line="276" w:lineRule="auto"/>
        <w:rPr>
          <w:rFonts w:ascii="Open Sans" w:hAnsi="Open Sans" w:cs="Open Sans"/>
          <w:szCs w:val="22"/>
          <w:lang w:val="en-CA"/>
        </w:rPr>
      </w:pPr>
      <w:r w:rsidRPr="00602F60">
        <w:rPr>
          <w:rFonts w:ascii="Open Sans" w:hAnsi="Open Sans" w:cs="Open Sans"/>
          <w:szCs w:val="22"/>
          <w:lang w:val="en-CA"/>
        </w:rPr>
        <w:t>The Board of Governors has delegated to the Governance Committee responsibility for overseeing and enhancing University Board governance, procedures and policies. The Committee assesses the University’s governance development and practices in accordance with adopted policies, principles</w:t>
      </w:r>
      <w:r w:rsidR="007C6CA0">
        <w:rPr>
          <w:rFonts w:ascii="Open Sans" w:hAnsi="Open Sans" w:cs="Open Sans"/>
          <w:szCs w:val="22"/>
          <w:lang w:val="en-CA"/>
        </w:rPr>
        <w:t>,</w:t>
      </w:r>
      <w:r w:rsidRPr="00602F60">
        <w:rPr>
          <w:rFonts w:ascii="Open Sans" w:hAnsi="Open Sans" w:cs="Open Sans"/>
          <w:szCs w:val="22"/>
          <w:lang w:val="en-CA"/>
        </w:rPr>
        <w:t xml:space="preserve"> and strategies, and makes recommendations on these matters to the Board of Governors.</w:t>
      </w:r>
    </w:p>
    <w:p w14:paraId="415BAF70" w14:textId="347610A5" w:rsidR="00CC620B" w:rsidRPr="00CE1D74" w:rsidRDefault="00C61FB0" w:rsidP="42BA6D9A">
      <w:pPr>
        <w:spacing w:after="200" w:line="276" w:lineRule="auto"/>
        <w:rPr>
          <w:rFonts w:ascii="Open Sans" w:hAnsi="Open Sans" w:cs="Open Sans"/>
          <w:lang w:val="en-CA"/>
        </w:rPr>
      </w:pPr>
      <w:r w:rsidRPr="42BA6D9A">
        <w:rPr>
          <w:rFonts w:ascii="Open Sans" w:hAnsi="Open Sans" w:cs="Open Sans"/>
          <w:lang w:val="en-CA"/>
        </w:rPr>
        <w:t xml:space="preserve">The Governance Committee is </w:t>
      </w:r>
      <w:r w:rsidR="00026C8A" w:rsidRPr="42BA6D9A">
        <w:rPr>
          <w:rFonts w:ascii="Open Sans" w:hAnsi="Open Sans" w:cs="Open Sans"/>
          <w:lang w:val="en-CA"/>
        </w:rPr>
        <w:t xml:space="preserve">responsible for </w:t>
      </w:r>
      <w:r w:rsidRPr="42BA6D9A">
        <w:rPr>
          <w:rFonts w:ascii="Open Sans" w:hAnsi="Open Sans" w:cs="Open Sans"/>
          <w:lang w:val="en-CA"/>
        </w:rPr>
        <w:t>review</w:t>
      </w:r>
      <w:r w:rsidR="00026C8A" w:rsidRPr="42BA6D9A">
        <w:rPr>
          <w:rFonts w:ascii="Open Sans" w:hAnsi="Open Sans" w:cs="Open Sans"/>
          <w:lang w:val="en-CA"/>
        </w:rPr>
        <w:t>ing</w:t>
      </w:r>
      <w:r w:rsidRPr="42BA6D9A">
        <w:rPr>
          <w:rFonts w:ascii="Open Sans" w:hAnsi="Open Sans" w:cs="Open Sans"/>
          <w:lang w:val="en-CA"/>
        </w:rPr>
        <w:t xml:space="preserve"> Board policies on a regular basis</w:t>
      </w:r>
      <w:r w:rsidR="00FA6939" w:rsidRPr="42BA6D9A">
        <w:rPr>
          <w:rFonts w:ascii="Open Sans" w:hAnsi="Open Sans" w:cs="Open Sans"/>
          <w:lang w:val="en-CA"/>
        </w:rPr>
        <w:t xml:space="preserve"> (or delegat</w:t>
      </w:r>
      <w:r w:rsidR="0034137F" w:rsidRPr="42BA6D9A">
        <w:rPr>
          <w:rFonts w:ascii="Open Sans" w:hAnsi="Open Sans" w:cs="Open Sans"/>
          <w:lang w:val="en-CA"/>
        </w:rPr>
        <w:t>ing</w:t>
      </w:r>
      <w:r w:rsidR="00FA6939" w:rsidRPr="42BA6D9A">
        <w:rPr>
          <w:rFonts w:ascii="Open Sans" w:hAnsi="Open Sans" w:cs="Open Sans"/>
          <w:lang w:val="en-CA"/>
        </w:rPr>
        <w:t xml:space="preserve"> to the appropriate committee), develop</w:t>
      </w:r>
      <w:r w:rsidR="0034137F" w:rsidRPr="42BA6D9A">
        <w:rPr>
          <w:rFonts w:ascii="Open Sans" w:hAnsi="Open Sans" w:cs="Open Sans"/>
          <w:lang w:val="en-CA"/>
        </w:rPr>
        <w:t>ing</w:t>
      </w:r>
      <w:r w:rsidR="00FA6939" w:rsidRPr="42BA6D9A">
        <w:rPr>
          <w:rFonts w:ascii="Open Sans" w:hAnsi="Open Sans" w:cs="Open Sans"/>
          <w:lang w:val="en-CA"/>
        </w:rPr>
        <w:t xml:space="preserve"> new policies as required,</w:t>
      </w:r>
      <w:r w:rsidRPr="42BA6D9A">
        <w:rPr>
          <w:rFonts w:ascii="Open Sans" w:hAnsi="Open Sans" w:cs="Open Sans"/>
          <w:lang w:val="en-CA"/>
        </w:rPr>
        <w:t xml:space="preserve"> and mak</w:t>
      </w:r>
      <w:r w:rsidR="0034137F" w:rsidRPr="42BA6D9A">
        <w:rPr>
          <w:rFonts w:ascii="Open Sans" w:hAnsi="Open Sans" w:cs="Open Sans"/>
          <w:lang w:val="en-CA"/>
        </w:rPr>
        <w:t>ing</w:t>
      </w:r>
      <w:r w:rsidRPr="42BA6D9A">
        <w:rPr>
          <w:rFonts w:ascii="Open Sans" w:hAnsi="Open Sans" w:cs="Open Sans"/>
          <w:lang w:val="en-CA"/>
        </w:rPr>
        <w:t xml:space="preserve"> recommendations for</w:t>
      </w:r>
      <w:r w:rsidR="0034137F" w:rsidRPr="42BA6D9A">
        <w:rPr>
          <w:rFonts w:ascii="Open Sans" w:hAnsi="Open Sans" w:cs="Open Sans"/>
          <w:lang w:val="en-CA"/>
        </w:rPr>
        <w:t xml:space="preserve"> changes</w:t>
      </w:r>
      <w:r w:rsidRPr="42BA6D9A">
        <w:rPr>
          <w:rFonts w:ascii="Open Sans" w:hAnsi="Open Sans" w:cs="Open Sans"/>
          <w:lang w:val="en-CA"/>
        </w:rPr>
        <w:t xml:space="preserve">, cancellations or addition </w:t>
      </w:r>
      <w:r w:rsidR="009233D2" w:rsidRPr="42BA6D9A">
        <w:rPr>
          <w:rFonts w:ascii="Open Sans" w:hAnsi="Open Sans" w:cs="Open Sans"/>
          <w:lang w:val="en-CA"/>
        </w:rPr>
        <w:t>to</w:t>
      </w:r>
      <w:r w:rsidRPr="42BA6D9A">
        <w:rPr>
          <w:rFonts w:ascii="Open Sans" w:hAnsi="Open Sans" w:cs="Open Sans"/>
          <w:lang w:val="en-CA"/>
        </w:rPr>
        <w:t xml:space="preserve"> policies as necessary.</w:t>
      </w:r>
      <w:r w:rsidR="003D070D" w:rsidRPr="42BA6D9A">
        <w:rPr>
          <w:rFonts w:ascii="Open Sans" w:hAnsi="Open Sans" w:cs="Open Sans"/>
          <w:lang w:val="en-CA"/>
        </w:rPr>
        <w:t xml:space="preserve"> </w:t>
      </w:r>
    </w:p>
    <w:p w14:paraId="02C126CE" w14:textId="026681B2" w:rsidR="001968CD" w:rsidRPr="00CE1D74" w:rsidRDefault="001D5130" w:rsidP="002C0D14">
      <w:pPr>
        <w:pStyle w:val="ListParagraph"/>
        <w:numPr>
          <w:ilvl w:val="0"/>
          <w:numId w:val="1"/>
        </w:numPr>
        <w:spacing w:after="200" w:line="276" w:lineRule="auto"/>
        <w:ind w:left="0"/>
        <w:rPr>
          <w:rFonts w:ascii="Open Sans" w:hAnsi="Open Sans" w:cs="Open Sans"/>
          <w:b/>
          <w:szCs w:val="22"/>
        </w:rPr>
      </w:pPr>
      <w:r>
        <w:rPr>
          <w:rFonts w:ascii="Open Sans" w:hAnsi="Open Sans" w:cs="Open Sans"/>
          <w:b/>
          <w:szCs w:val="22"/>
        </w:rPr>
        <w:t>Composition</w:t>
      </w:r>
    </w:p>
    <w:p w14:paraId="67D9CFCB" w14:textId="2583649F" w:rsidR="003E1633" w:rsidRPr="00CE1D74" w:rsidRDefault="00850267" w:rsidP="003E1633">
      <w:pPr>
        <w:spacing w:after="200" w:line="276" w:lineRule="auto"/>
        <w:rPr>
          <w:rFonts w:ascii="Open Sans" w:hAnsi="Open Sans" w:cs="Open Sans"/>
          <w:szCs w:val="22"/>
          <w:lang w:val="en-CA"/>
        </w:rPr>
      </w:pPr>
      <w:r w:rsidRPr="00850267">
        <w:rPr>
          <w:rFonts w:ascii="Open Sans" w:hAnsi="Open Sans" w:cs="Open Sans"/>
          <w:szCs w:val="22"/>
        </w:rPr>
        <w:t>The Committee shall consist of a committee chair, plus at least three other Board members and no more than five</w:t>
      </w:r>
      <w:r w:rsidR="005F3B0C">
        <w:rPr>
          <w:rFonts w:ascii="Open Sans" w:hAnsi="Open Sans" w:cs="Open Sans"/>
          <w:szCs w:val="22"/>
        </w:rPr>
        <w:t xml:space="preserve"> </w:t>
      </w:r>
      <w:r w:rsidR="005F3B0C" w:rsidRPr="009E7625">
        <w:rPr>
          <w:rFonts w:ascii="Open Sans" w:hAnsi="Open Sans" w:cs="Open Sans"/>
          <w:szCs w:val="22"/>
        </w:rPr>
        <w:t>one of which may</w:t>
      </w:r>
      <w:r w:rsidR="00D81E3E" w:rsidRPr="009E7625">
        <w:rPr>
          <w:rFonts w:ascii="Open Sans" w:hAnsi="Open Sans" w:cs="Open Sans"/>
          <w:szCs w:val="22"/>
        </w:rPr>
        <w:t xml:space="preserve"> includ</w:t>
      </w:r>
      <w:r w:rsidR="005F3B0C" w:rsidRPr="009E7625">
        <w:rPr>
          <w:rFonts w:ascii="Open Sans" w:hAnsi="Open Sans" w:cs="Open Sans"/>
          <w:szCs w:val="22"/>
        </w:rPr>
        <w:t>e</w:t>
      </w:r>
      <w:r w:rsidR="00D81E3E" w:rsidRPr="009E7625">
        <w:rPr>
          <w:rFonts w:ascii="Open Sans" w:hAnsi="Open Sans" w:cs="Open Sans"/>
          <w:szCs w:val="22"/>
        </w:rPr>
        <w:t xml:space="preserve"> the President</w:t>
      </w:r>
      <w:r w:rsidRPr="00850267">
        <w:rPr>
          <w:rFonts w:ascii="Open Sans" w:hAnsi="Open Sans" w:cs="Open Sans"/>
          <w:szCs w:val="22"/>
        </w:rPr>
        <w:t xml:space="preserve">. Members are to be recommended by the Committee Chair for Board approval. </w:t>
      </w:r>
    </w:p>
    <w:p w14:paraId="49111558" w14:textId="4EF0D6B6" w:rsidR="001968CD" w:rsidRPr="00CE1D74" w:rsidRDefault="00AE7219" w:rsidP="003E1633">
      <w:pPr>
        <w:pStyle w:val="ListParagraph"/>
        <w:numPr>
          <w:ilvl w:val="0"/>
          <w:numId w:val="1"/>
        </w:numPr>
        <w:spacing w:before="200" w:after="200"/>
        <w:ind w:left="0"/>
        <w:contextualSpacing w:val="0"/>
        <w:rPr>
          <w:rFonts w:ascii="Open Sans" w:hAnsi="Open Sans" w:cs="Open Sans"/>
          <w:b/>
          <w:szCs w:val="22"/>
        </w:rPr>
      </w:pPr>
      <w:r>
        <w:rPr>
          <w:rFonts w:ascii="Open Sans" w:hAnsi="Open Sans" w:cs="Open Sans"/>
          <w:b/>
          <w:szCs w:val="22"/>
        </w:rPr>
        <w:t>Meetings</w:t>
      </w:r>
    </w:p>
    <w:p w14:paraId="331CC098" w14:textId="751A4CF1" w:rsidR="003E1633" w:rsidRPr="00CE1D74" w:rsidRDefault="00AE7219" w:rsidP="00825E51">
      <w:pPr>
        <w:spacing w:after="200" w:line="276" w:lineRule="auto"/>
        <w:rPr>
          <w:rFonts w:ascii="Open Sans" w:hAnsi="Open Sans" w:cs="Open Sans"/>
          <w:szCs w:val="22"/>
          <w:lang w:val="en-CA"/>
        </w:rPr>
      </w:pPr>
      <w:bookmarkStart w:id="0" w:name="_Hlk7704857"/>
      <w:r w:rsidRPr="00AE7219">
        <w:rPr>
          <w:rFonts w:ascii="Open Sans" w:hAnsi="Open Sans" w:cs="Open Sans"/>
          <w:szCs w:val="22"/>
          <w:lang w:val="en-CA"/>
        </w:rPr>
        <w:t xml:space="preserve">The Governance Committee shall meet </w:t>
      </w:r>
      <w:r w:rsidR="002458E6">
        <w:rPr>
          <w:rFonts w:ascii="Open Sans" w:hAnsi="Open Sans" w:cs="Open Sans"/>
          <w:szCs w:val="22"/>
          <w:lang w:val="en-CA"/>
        </w:rPr>
        <w:t xml:space="preserve">as per the </w:t>
      </w:r>
      <w:r w:rsidR="00F47818">
        <w:rPr>
          <w:rFonts w:ascii="Open Sans" w:hAnsi="Open Sans" w:cs="Open Sans"/>
          <w:szCs w:val="22"/>
          <w:lang w:val="en-CA"/>
        </w:rPr>
        <w:t xml:space="preserve">approved </w:t>
      </w:r>
      <w:r w:rsidR="00501B5D">
        <w:rPr>
          <w:rFonts w:ascii="Open Sans" w:hAnsi="Open Sans" w:cs="Open Sans"/>
          <w:szCs w:val="22"/>
          <w:lang w:val="en-CA"/>
        </w:rPr>
        <w:t>Board annual planning calendar.</w:t>
      </w:r>
    </w:p>
    <w:bookmarkEnd w:id="0"/>
    <w:p w14:paraId="5654F30A" w14:textId="13FC9B28" w:rsidR="00AE7219" w:rsidRDefault="00AE7219" w:rsidP="00AE7219">
      <w:pPr>
        <w:pStyle w:val="ListParagraph"/>
        <w:numPr>
          <w:ilvl w:val="0"/>
          <w:numId w:val="1"/>
        </w:numPr>
        <w:spacing w:after="200" w:line="276" w:lineRule="auto"/>
        <w:ind w:left="0"/>
        <w:contextualSpacing w:val="0"/>
        <w:rPr>
          <w:rFonts w:ascii="Open Sans" w:hAnsi="Open Sans" w:cs="Open Sans"/>
          <w:b/>
          <w:szCs w:val="22"/>
        </w:rPr>
      </w:pPr>
      <w:r>
        <w:rPr>
          <w:rFonts w:ascii="Open Sans" w:hAnsi="Open Sans" w:cs="Open Sans"/>
          <w:b/>
          <w:szCs w:val="22"/>
        </w:rPr>
        <w:t>Procedures</w:t>
      </w:r>
    </w:p>
    <w:p w14:paraId="3499526A" w14:textId="77777777" w:rsidR="0076634B" w:rsidRPr="0076634B" w:rsidRDefault="0076634B" w:rsidP="0076634B">
      <w:pPr>
        <w:spacing w:after="200" w:line="276" w:lineRule="auto"/>
        <w:rPr>
          <w:rFonts w:ascii="Open Sans" w:hAnsi="Open Sans" w:cs="Open Sans"/>
          <w:bCs/>
          <w:szCs w:val="22"/>
        </w:rPr>
      </w:pPr>
      <w:r w:rsidRPr="0076634B">
        <w:rPr>
          <w:rFonts w:ascii="Open Sans" w:hAnsi="Open Sans" w:cs="Open Sans"/>
          <w:bCs/>
          <w:szCs w:val="22"/>
        </w:rPr>
        <w:t>The Governance Committee will:</w:t>
      </w:r>
    </w:p>
    <w:p w14:paraId="78FB76C2" w14:textId="78E83CE4" w:rsidR="0076634B" w:rsidRPr="009E20CF" w:rsidRDefault="0076634B" w:rsidP="009E20CF">
      <w:pPr>
        <w:pStyle w:val="ListParagraph"/>
        <w:numPr>
          <w:ilvl w:val="0"/>
          <w:numId w:val="10"/>
        </w:numPr>
        <w:spacing w:after="200" w:line="276" w:lineRule="auto"/>
        <w:rPr>
          <w:rFonts w:ascii="Open Sans" w:hAnsi="Open Sans" w:cs="Open Sans"/>
          <w:bCs/>
          <w:szCs w:val="22"/>
        </w:rPr>
      </w:pPr>
      <w:r w:rsidRPr="009E20CF">
        <w:rPr>
          <w:rFonts w:ascii="Open Sans" w:hAnsi="Open Sans" w:cs="Open Sans"/>
          <w:bCs/>
          <w:szCs w:val="22"/>
        </w:rPr>
        <w:t>Review Board policies thoroughly as per the policy review schedule</w:t>
      </w:r>
      <w:r w:rsidR="00BF1FB3">
        <w:rPr>
          <w:rFonts w:ascii="Open Sans" w:hAnsi="Open Sans" w:cs="Open Sans"/>
          <w:bCs/>
          <w:szCs w:val="22"/>
        </w:rPr>
        <w:t>;</w:t>
      </w:r>
    </w:p>
    <w:p w14:paraId="6207F0E7" w14:textId="53EB8B36" w:rsidR="0076634B" w:rsidRPr="009E20CF" w:rsidRDefault="00F175D7" w:rsidP="009E20CF">
      <w:pPr>
        <w:pStyle w:val="ListParagraph"/>
        <w:numPr>
          <w:ilvl w:val="0"/>
          <w:numId w:val="10"/>
        </w:numPr>
        <w:spacing w:after="200" w:line="276" w:lineRule="auto"/>
        <w:rPr>
          <w:rFonts w:ascii="Open Sans" w:hAnsi="Open Sans" w:cs="Open Sans"/>
          <w:bCs/>
          <w:szCs w:val="22"/>
        </w:rPr>
      </w:pPr>
      <w:r>
        <w:rPr>
          <w:rFonts w:ascii="Open Sans" w:hAnsi="Open Sans" w:cs="Open Sans"/>
          <w:bCs/>
          <w:szCs w:val="22"/>
        </w:rPr>
        <w:t xml:space="preserve">Update the </w:t>
      </w:r>
      <w:r w:rsidR="00BF1FB3">
        <w:rPr>
          <w:rFonts w:ascii="Open Sans" w:hAnsi="Open Sans" w:cs="Open Sans"/>
          <w:bCs/>
          <w:szCs w:val="22"/>
        </w:rPr>
        <w:t>p</w:t>
      </w:r>
      <w:r w:rsidR="0076634B" w:rsidRPr="009E20CF">
        <w:rPr>
          <w:rFonts w:ascii="Open Sans" w:hAnsi="Open Sans" w:cs="Open Sans"/>
          <w:bCs/>
          <w:szCs w:val="22"/>
        </w:rPr>
        <w:t>olicy review schedule as needed</w:t>
      </w:r>
      <w:r w:rsidR="00BF1FB3">
        <w:rPr>
          <w:rFonts w:ascii="Open Sans" w:hAnsi="Open Sans" w:cs="Open Sans"/>
          <w:bCs/>
          <w:szCs w:val="22"/>
        </w:rPr>
        <w:t>;</w:t>
      </w:r>
    </w:p>
    <w:p w14:paraId="67FAE2A9" w14:textId="5DA66653" w:rsidR="00F175D7" w:rsidRPr="00F175D7" w:rsidRDefault="00F175D7" w:rsidP="00F175D7">
      <w:pPr>
        <w:pStyle w:val="ListParagraph"/>
        <w:numPr>
          <w:ilvl w:val="0"/>
          <w:numId w:val="10"/>
        </w:numPr>
        <w:rPr>
          <w:rFonts w:ascii="Open Sans" w:hAnsi="Open Sans" w:cs="Open Sans"/>
          <w:bCs/>
          <w:szCs w:val="22"/>
        </w:rPr>
      </w:pPr>
      <w:r w:rsidRPr="00F175D7">
        <w:rPr>
          <w:rFonts w:ascii="Open Sans" w:hAnsi="Open Sans" w:cs="Open Sans"/>
          <w:bCs/>
          <w:szCs w:val="22"/>
        </w:rPr>
        <w:t>Delegate specific policies to the relevant Board committee for review, revisions or recommendation for approval as appropriate, and as per the policy review schedule</w:t>
      </w:r>
      <w:r w:rsidR="00BF1FB3">
        <w:rPr>
          <w:rFonts w:ascii="Open Sans" w:hAnsi="Open Sans" w:cs="Open Sans"/>
          <w:bCs/>
          <w:szCs w:val="22"/>
        </w:rPr>
        <w:t>;</w:t>
      </w:r>
    </w:p>
    <w:p w14:paraId="65B1B4A5" w14:textId="0E48731F" w:rsidR="0076634B" w:rsidRPr="009E20CF" w:rsidRDefault="0076634B" w:rsidP="009E20CF">
      <w:pPr>
        <w:pStyle w:val="ListParagraph"/>
        <w:numPr>
          <w:ilvl w:val="0"/>
          <w:numId w:val="10"/>
        </w:numPr>
        <w:spacing w:after="200" w:line="276" w:lineRule="auto"/>
        <w:rPr>
          <w:rFonts w:ascii="Open Sans" w:hAnsi="Open Sans" w:cs="Open Sans"/>
          <w:bCs/>
          <w:szCs w:val="22"/>
        </w:rPr>
      </w:pPr>
      <w:r w:rsidRPr="009E20CF">
        <w:rPr>
          <w:rFonts w:ascii="Open Sans" w:hAnsi="Open Sans" w:cs="Open Sans"/>
          <w:bCs/>
          <w:szCs w:val="22"/>
        </w:rPr>
        <w:t>Make recommendations to the Board about where a policy needs alteration, where a policy is no longer relevant and should be cancelled, or where a new policy should be implemented</w:t>
      </w:r>
      <w:r w:rsidR="00BF1FB3">
        <w:rPr>
          <w:rFonts w:ascii="Open Sans" w:hAnsi="Open Sans" w:cs="Open Sans"/>
          <w:bCs/>
          <w:szCs w:val="22"/>
        </w:rPr>
        <w:t>;</w:t>
      </w:r>
      <w:r w:rsidRPr="009E20CF">
        <w:rPr>
          <w:rFonts w:ascii="Open Sans" w:hAnsi="Open Sans" w:cs="Open Sans"/>
          <w:bCs/>
          <w:szCs w:val="22"/>
        </w:rPr>
        <w:t xml:space="preserve"> </w:t>
      </w:r>
    </w:p>
    <w:p w14:paraId="6D6BF8E7" w14:textId="02CB58CC" w:rsidR="0076634B" w:rsidRDefault="003966D7" w:rsidP="009E20CF">
      <w:pPr>
        <w:pStyle w:val="ListParagraph"/>
        <w:numPr>
          <w:ilvl w:val="0"/>
          <w:numId w:val="10"/>
        </w:numPr>
        <w:spacing w:after="200" w:line="276" w:lineRule="auto"/>
        <w:rPr>
          <w:rFonts w:ascii="Open Sans" w:hAnsi="Open Sans" w:cs="Open Sans"/>
          <w:bCs/>
          <w:szCs w:val="22"/>
        </w:rPr>
      </w:pPr>
      <w:r>
        <w:rPr>
          <w:rFonts w:ascii="Open Sans" w:hAnsi="Open Sans" w:cs="Open Sans"/>
          <w:bCs/>
          <w:szCs w:val="22"/>
        </w:rPr>
        <w:t>Provide a</w:t>
      </w:r>
      <w:r w:rsidR="0076634B" w:rsidRPr="009E20CF">
        <w:rPr>
          <w:rFonts w:ascii="Open Sans" w:hAnsi="Open Sans" w:cs="Open Sans"/>
          <w:bCs/>
          <w:szCs w:val="22"/>
        </w:rPr>
        <w:t xml:space="preserve"> verbal report to the full Board at the next Board meeting detailing the recommendations of the Governance Committee. A written briefing note will also be provided where possible. </w:t>
      </w:r>
    </w:p>
    <w:p w14:paraId="75C2EAF1" w14:textId="26C6BEE7" w:rsidR="008945C9" w:rsidRPr="001B0453" w:rsidRDefault="008945C9" w:rsidP="008945C9">
      <w:pPr>
        <w:numPr>
          <w:ilvl w:val="0"/>
          <w:numId w:val="10"/>
        </w:numPr>
        <w:spacing w:after="200" w:line="276" w:lineRule="auto"/>
        <w:rPr>
          <w:rFonts w:ascii="Open Sans" w:hAnsi="Open Sans" w:cs="Open Sans"/>
          <w:bCs/>
          <w:szCs w:val="22"/>
        </w:rPr>
      </w:pPr>
      <w:r w:rsidRPr="001B0453">
        <w:rPr>
          <w:rFonts w:ascii="Open Sans" w:hAnsi="Open Sans" w:cs="Open Sans"/>
          <w:color w:val="222222"/>
          <w:szCs w:val="22"/>
          <w:shd w:val="clear" w:color="auto" w:fill="FFFFFF"/>
        </w:rPr>
        <w:lastRenderedPageBreak/>
        <w:t>Make recommendations to the Board of Governors for improvements (effectiveness, relevance, clarity) to governance structure and policies.</w:t>
      </w:r>
    </w:p>
    <w:p w14:paraId="5CD8FCCF" w14:textId="1177F2D9" w:rsidR="00AE7219" w:rsidRPr="00780B5C" w:rsidRDefault="0076634B" w:rsidP="00780B5C">
      <w:pPr>
        <w:spacing w:after="200" w:line="276" w:lineRule="auto"/>
        <w:rPr>
          <w:rFonts w:ascii="Open Sans" w:hAnsi="Open Sans" w:cs="Open Sans"/>
          <w:bCs/>
          <w:szCs w:val="22"/>
        </w:rPr>
      </w:pPr>
      <w:r w:rsidRPr="00780B5C">
        <w:rPr>
          <w:rFonts w:ascii="Open Sans" w:hAnsi="Open Sans" w:cs="Open Sans"/>
          <w:bCs/>
          <w:szCs w:val="22"/>
        </w:rPr>
        <w:t>Quorum for the Governance Committee shall be two members plus the Committee Chair.</w:t>
      </w:r>
    </w:p>
    <w:p w14:paraId="6A309A45" w14:textId="60CDE848" w:rsidR="001968CD" w:rsidRPr="00AE7219" w:rsidRDefault="00AE7219" w:rsidP="00AE7219">
      <w:pPr>
        <w:pStyle w:val="ListParagraph"/>
        <w:numPr>
          <w:ilvl w:val="0"/>
          <w:numId w:val="1"/>
        </w:numPr>
        <w:spacing w:after="200" w:line="276" w:lineRule="auto"/>
        <w:ind w:left="0"/>
        <w:contextualSpacing w:val="0"/>
        <w:rPr>
          <w:rFonts w:ascii="Open Sans" w:hAnsi="Open Sans" w:cs="Open Sans"/>
          <w:b/>
          <w:szCs w:val="22"/>
        </w:rPr>
      </w:pPr>
      <w:r w:rsidRPr="00AE7219">
        <w:rPr>
          <w:rFonts w:ascii="Open Sans" w:hAnsi="Open Sans" w:cs="Open Sans"/>
          <w:b/>
          <w:szCs w:val="22"/>
        </w:rPr>
        <w:t>Approval Authority</w:t>
      </w:r>
    </w:p>
    <w:p w14:paraId="7D7935B3" w14:textId="77777777" w:rsidR="001308EC" w:rsidRPr="001308EC" w:rsidRDefault="001308EC" w:rsidP="001308EC">
      <w:pPr>
        <w:spacing w:after="200" w:line="276" w:lineRule="auto"/>
        <w:rPr>
          <w:rFonts w:ascii="Open Sans" w:hAnsi="Open Sans" w:cs="Open Sans"/>
          <w:szCs w:val="22"/>
          <w:lang w:val="en-CA"/>
        </w:rPr>
      </w:pPr>
      <w:r w:rsidRPr="001308EC">
        <w:rPr>
          <w:rFonts w:ascii="Open Sans" w:hAnsi="Open Sans" w:cs="Open Sans"/>
          <w:szCs w:val="22"/>
          <w:lang w:val="en-CA"/>
        </w:rPr>
        <w:t>On behalf of the Board of Governors, the Governance Committee has authority as follows:</w:t>
      </w:r>
    </w:p>
    <w:p w14:paraId="5F100C42" w14:textId="37DCD410" w:rsidR="00944CF1" w:rsidRDefault="001308EC" w:rsidP="008851BB">
      <w:pPr>
        <w:pStyle w:val="ListParagraph"/>
        <w:numPr>
          <w:ilvl w:val="0"/>
          <w:numId w:val="11"/>
        </w:numPr>
        <w:spacing w:after="200" w:line="276" w:lineRule="auto"/>
        <w:contextualSpacing w:val="0"/>
        <w:rPr>
          <w:rFonts w:ascii="Open Sans" w:hAnsi="Open Sans" w:cs="Open Sans"/>
          <w:szCs w:val="22"/>
          <w:lang w:val="en-CA"/>
        </w:rPr>
      </w:pPr>
      <w:r w:rsidRPr="008851BB">
        <w:rPr>
          <w:rFonts w:ascii="Open Sans" w:hAnsi="Open Sans" w:cs="Open Sans"/>
          <w:szCs w:val="22"/>
          <w:lang w:val="en-CA"/>
        </w:rPr>
        <w:t>To make recommendations to the Board with regards to policy review, drafting of new policies and removal of policies where necessary.</w:t>
      </w:r>
    </w:p>
    <w:p w14:paraId="2DC0478D" w14:textId="77777777" w:rsidR="00944CF1" w:rsidRDefault="00944CF1">
      <w:pPr>
        <w:rPr>
          <w:rFonts w:ascii="Open Sans" w:hAnsi="Open Sans" w:cs="Open Sans"/>
          <w:szCs w:val="22"/>
          <w:lang w:val="en-CA"/>
        </w:rPr>
      </w:pPr>
      <w:r>
        <w:rPr>
          <w:rFonts w:ascii="Open Sans" w:hAnsi="Open Sans" w:cs="Open Sans"/>
          <w:szCs w:val="22"/>
          <w:lang w:val="en-CA"/>
        </w:rPr>
        <w:br w:type="page"/>
      </w:r>
    </w:p>
    <w:p w14:paraId="2020744A" w14:textId="77777777" w:rsidR="006C1768" w:rsidRDefault="006C1768" w:rsidP="00944CF1">
      <w:pPr>
        <w:spacing w:after="200" w:line="276" w:lineRule="auto"/>
        <w:rPr>
          <w:rFonts w:ascii="Open Sans" w:hAnsi="Open Sans" w:cs="Open Sans"/>
          <w:b/>
          <w:bCs/>
          <w:szCs w:val="22"/>
          <w:lang w:val="en-CA"/>
        </w:rPr>
        <w:sectPr w:rsidR="006C1768" w:rsidSect="00AD1D2E">
          <w:headerReference w:type="default" r:id="rId13"/>
          <w:footerReference w:type="default" r:id="rId14"/>
          <w:pgSz w:w="12240" w:h="15840" w:code="1"/>
          <w:pgMar w:top="2070" w:right="1440" w:bottom="1440" w:left="1440" w:header="576" w:footer="720" w:gutter="0"/>
          <w:cols w:space="720"/>
          <w:docGrid w:linePitch="360"/>
        </w:sectPr>
      </w:pPr>
    </w:p>
    <w:p w14:paraId="1A2DAC56" w14:textId="0238495A" w:rsidR="00F413E3" w:rsidRDefault="00F413E3" w:rsidP="00940CDA">
      <w:pPr>
        <w:rPr>
          <w:rFonts w:ascii="Open Sans" w:hAnsi="Open Sans" w:cs="Open Sans"/>
          <w:b/>
          <w:bCs/>
          <w:szCs w:val="22"/>
          <w:lang w:val="en-CA"/>
        </w:rPr>
      </w:pPr>
      <w:r w:rsidRPr="003C407B">
        <w:rPr>
          <w:rFonts w:ascii="Open Sans" w:hAnsi="Open Sans" w:cs="Open Sans"/>
          <w:b/>
          <w:bCs/>
          <w:szCs w:val="22"/>
          <w:lang w:val="en-CA"/>
        </w:rPr>
        <w:lastRenderedPageBreak/>
        <w:t>Addendum B – Governance Committee – Policy Review Schedule 20</w:t>
      </w:r>
      <w:r w:rsidR="006B4D15">
        <w:rPr>
          <w:rFonts w:ascii="Open Sans" w:hAnsi="Open Sans" w:cs="Open Sans"/>
          <w:b/>
          <w:bCs/>
          <w:szCs w:val="22"/>
          <w:lang w:val="en-CA"/>
        </w:rPr>
        <w:t>21</w:t>
      </w:r>
      <w:r w:rsidRPr="003C407B">
        <w:rPr>
          <w:rFonts w:ascii="Open Sans" w:hAnsi="Open Sans" w:cs="Open Sans"/>
          <w:b/>
          <w:bCs/>
          <w:szCs w:val="22"/>
          <w:lang w:val="en-CA"/>
        </w:rPr>
        <w:t xml:space="preserve"> – 202</w:t>
      </w:r>
      <w:r w:rsidR="006B4D15">
        <w:rPr>
          <w:rFonts w:ascii="Open Sans" w:hAnsi="Open Sans" w:cs="Open Sans"/>
          <w:b/>
          <w:bCs/>
          <w:szCs w:val="22"/>
          <w:lang w:val="en-CA"/>
        </w:rPr>
        <w:t>5</w:t>
      </w:r>
    </w:p>
    <w:tbl>
      <w:tblPr>
        <w:tblStyle w:val="TableGrid"/>
        <w:tblW w:w="13045" w:type="dxa"/>
        <w:tblLook w:val="04A0" w:firstRow="1" w:lastRow="0" w:firstColumn="1" w:lastColumn="0" w:noHBand="0" w:noVBand="1"/>
      </w:tblPr>
      <w:tblGrid>
        <w:gridCol w:w="782"/>
        <w:gridCol w:w="2453"/>
        <w:gridCol w:w="3150"/>
        <w:gridCol w:w="3510"/>
        <w:gridCol w:w="3150"/>
      </w:tblGrid>
      <w:tr w:rsidR="006B4D15" w:rsidRPr="00E82233" w14:paraId="1BE77F9A" w14:textId="77777777" w:rsidTr="00EA54B3">
        <w:trPr>
          <w:trHeight w:val="269"/>
        </w:trPr>
        <w:tc>
          <w:tcPr>
            <w:tcW w:w="782" w:type="dxa"/>
          </w:tcPr>
          <w:p w14:paraId="2A2932A8"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Year</w:t>
            </w:r>
          </w:p>
        </w:tc>
        <w:tc>
          <w:tcPr>
            <w:tcW w:w="2453" w:type="dxa"/>
          </w:tcPr>
          <w:p w14:paraId="09891D51"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September</w:t>
            </w:r>
          </w:p>
        </w:tc>
        <w:tc>
          <w:tcPr>
            <w:tcW w:w="3150" w:type="dxa"/>
          </w:tcPr>
          <w:p w14:paraId="6C366E6F" w14:textId="0D4516A4"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January</w:t>
            </w:r>
          </w:p>
        </w:tc>
        <w:tc>
          <w:tcPr>
            <w:tcW w:w="3510" w:type="dxa"/>
          </w:tcPr>
          <w:p w14:paraId="7F37997F" w14:textId="40BA35B3"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April</w:t>
            </w:r>
          </w:p>
        </w:tc>
        <w:tc>
          <w:tcPr>
            <w:tcW w:w="3150" w:type="dxa"/>
          </w:tcPr>
          <w:p w14:paraId="1308A309" w14:textId="1B6CAEE4"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June</w:t>
            </w:r>
          </w:p>
        </w:tc>
      </w:tr>
      <w:tr w:rsidR="006B4D15" w:rsidRPr="00E82233" w14:paraId="43A01560" w14:textId="77777777" w:rsidTr="00EA54B3">
        <w:trPr>
          <w:trHeight w:val="2888"/>
        </w:trPr>
        <w:tc>
          <w:tcPr>
            <w:tcW w:w="782" w:type="dxa"/>
          </w:tcPr>
          <w:p w14:paraId="1C35D486"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2021-2022</w:t>
            </w:r>
          </w:p>
        </w:tc>
        <w:tc>
          <w:tcPr>
            <w:tcW w:w="2453" w:type="dxa"/>
          </w:tcPr>
          <w:p w14:paraId="368E6AAD" w14:textId="5F9380A5" w:rsidR="006B4D15" w:rsidRPr="00612C31" w:rsidRDefault="006B4D15" w:rsidP="00E82233">
            <w:pPr>
              <w:spacing w:after="200" w:line="276" w:lineRule="auto"/>
              <w:rPr>
                <w:rFonts w:ascii="Open Sans" w:hAnsi="Open Sans" w:cs="Open Sans"/>
                <w:szCs w:val="22"/>
                <w:highlight w:val="cyan"/>
                <w:lang w:val="en-CA"/>
              </w:rPr>
            </w:pPr>
            <w:r w:rsidRPr="00612C31">
              <w:rPr>
                <w:rFonts w:ascii="Open Sans" w:hAnsi="Open Sans" w:cs="Open Sans"/>
                <w:szCs w:val="22"/>
                <w:highlight w:val="cyan"/>
                <w:lang w:val="en-CA"/>
              </w:rPr>
              <w:t xml:space="preserve">BOG – 17 Board </w:t>
            </w:r>
            <w:r w:rsidR="007F4B53">
              <w:rPr>
                <w:rFonts w:ascii="Open Sans" w:hAnsi="Open Sans" w:cs="Open Sans"/>
                <w:szCs w:val="22"/>
                <w:highlight w:val="cyan"/>
                <w:lang w:val="en-CA"/>
              </w:rPr>
              <w:t>M</w:t>
            </w:r>
            <w:r w:rsidRPr="00612C31">
              <w:rPr>
                <w:rFonts w:ascii="Open Sans" w:hAnsi="Open Sans" w:cs="Open Sans"/>
                <w:szCs w:val="22"/>
                <w:highlight w:val="cyan"/>
                <w:lang w:val="en-CA"/>
              </w:rPr>
              <w:t>ember Selection Process (</w:t>
            </w:r>
            <w:r w:rsidR="005119A9" w:rsidRPr="00612C31">
              <w:rPr>
                <w:rFonts w:ascii="Open Sans" w:hAnsi="Open Sans" w:cs="Open Sans"/>
                <w:szCs w:val="22"/>
                <w:highlight w:val="cyan"/>
                <w:lang w:val="en-CA"/>
              </w:rPr>
              <w:t>Governance)</w:t>
            </w:r>
          </w:p>
          <w:p w14:paraId="36A05493" w14:textId="54733F87" w:rsidR="006B4D15" w:rsidRPr="00612C31" w:rsidRDefault="006B4D15" w:rsidP="00E82233">
            <w:pPr>
              <w:spacing w:after="200" w:line="276" w:lineRule="auto"/>
              <w:rPr>
                <w:rFonts w:ascii="Open Sans" w:hAnsi="Open Sans" w:cs="Open Sans"/>
                <w:szCs w:val="22"/>
                <w:highlight w:val="cyan"/>
                <w:lang w:val="en-CA"/>
              </w:rPr>
            </w:pPr>
            <w:r w:rsidRPr="00612C31">
              <w:rPr>
                <w:rFonts w:ascii="Open Sans" w:hAnsi="Open Sans" w:cs="Open Sans"/>
                <w:szCs w:val="22"/>
                <w:highlight w:val="cyan"/>
                <w:lang w:val="en-CA"/>
              </w:rPr>
              <w:t xml:space="preserve">BOG-04 Board/Board </w:t>
            </w:r>
            <w:r w:rsidR="002D790B">
              <w:rPr>
                <w:rFonts w:ascii="Open Sans" w:hAnsi="Open Sans" w:cs="Open Sans"/>
                <w:szCs w:val="22"/>
                <w:highlight w:val="cyan"/>
                <w:lang w:val="en-CA"/>
              </w:rPr>
              <w:t>M</w:t>
            </w:r>
            <w:r w:rsidRPr="00612C31">
              <w:rPr>
                <w:rFonts w:ascii="Open Sans" w:hAnsi="Open Sans" w:cs="Open Sans"/>
                <w:szCs w:val="22"/>
                <w:highlight w:val="cyan"/>
                <w:lang w:val="en-CA"/>
              </w:rPr>
              <w:t xml:space="preserve">ember </w:t>
            </w:r>
            <w:r w:rsidR="002D790B">
              <w:rPr>
                <w:rFonts w:ascii="Open Sans" w:hAnsi="Open Sans" w:cs="Open Sans"/>
                <w:szCs w:val="22"/>
                <w:highlight w:val="cyan"/>
                <w:lang w:val="en-CA"/>
              </w:rPr>
              <w:t>P</w:t>
            </w:r>
            <w:r w:rsidRPr="00612C31">
              <w:rPr>
                <w:rFonts w:ascii="Open Sans" w:hAnsi="Open Sans" w:cs="Open Sans"/>
                <w:szCs w:val="22"/>
                <w:highlight w:val="cyan"/>
                <w:lang w:val="en-CA"/>
              </w:rPr>
              <w:t>rotocol (Governance)</w:t>
            </w:r>
          </w:p>
        </w:tc>
        <w:tc>
          <w:tcPr>
            <w:tcW w:w="3150" w:type="dxa"/>
          </w:tcPr>
          <w:p w14:paraId="2E966D1A" w14:textId="77777777" w:rsidR="0013586C" w:rsidRPr="00E82233" w:rsidRDefault="0013586C" w:rsidP="0013586C">
            <w:pPr>
              <w:spacing w:after="200" w:line="276" w:lineRule="auto"/>
              <w:rPr>
                <w:rFonts w:ascii="Open Sans" w:hAnsi="Open Sans" w:cs="Open Sans"/>
                <w:szCs w:val="22"/>
                <w:lang w:val="en-CA"/>
              </w:rPr>
            </w:pPr>
            <w:r w:rsidRPr="00EA54B3">
              <w:rPr>
                <w:rFonts w:ascii="Open Sans" w:hAnsi="Open Sans" w:cs="Open Sans"/>
                <w:szCs w:val="22"/>
                <w:highlight w:val="cyan"/>
                <w:lang w:val="en-CA"/>
              </w:rPr>
              <w:t>BOG -16 – Board relationship with Governing Councils (Governance)</w:t>
            </w:r>
          </w:p>
          <w:p w14:paraId="3FD9532F" w14:textId="0F4B0FEA" w:rsidR="0013586C" w:rsidRPr="00E82233" w:rsidRDefault="0013586C" w:rsidP="00E82233">
            <w:pPr>
              <w:spacing w:after="200" w:line="276" w:lineRule="auto"/>
              <w:rPr>
                <w:rFonts w:ascii="Open Sans" w:hAnsi="Open Sans" w:cs="Open Sans"/>
                <w:szCs w:val="22"/>
                <w:lang w:val="en-CA"/>
              </w:rPr>
            </w:pPr>
          </w:p>
        </w:tc>
        <w:tc>
          <w:tcPr>
            <w:tcW w:w="3510" w:type="dxa"/>
          </w:tcPr>
          <w:p w14:paraId="4860AA83" w14:textId="77777777" w:rsidR="00FF6A55" w:rsidRPr="00E82233" w:rsidRDefault="00FF6A55" w:rsidP="00FF6A55">
            <w:pPr>
              <w:spacing w:after="200" w:line="276" w:lineRule="auto"/>
              <w:rPr>
                <w:rFonts w:ascii="Open Sans" w:hAnsi="Open Sans" w:cs="Open Sans"/>
                <w:szCs w:val="22"/>
                <w:lang w:val="en-CA"/>
              </w:rPr>
            </w:pPr>
            <w:r w:rsidRPr="00EA54B3">
              <w:rPr>
                <w:rFonts w:ascii="Open Sans" w:hAnsi="Open Sans" w:cs="Open Sans"/>
                <w:szCs w:val="22"/>
                <w:highlight w:val="cyan"/>
                <w:lang w:val="en-CA"/>
              </w:rPr>
              <w:t>BOG -11 Investment in Governance (Governance)</w:t>
            </w:r>
          </w:p>
          <w:p w14:paraId="4BA9AB8E" w14:textId="77777777" w:rsidR="00FF6A55" w:rsidRPr="00953221" w:rsidRDefault="00FF6A55" w:rsidP="00157189">
            <w:pPr>
              <w:spacing w:after="200" w:line="276" w:lineRule="auto"/>
              <w:rPr>
                <w:rFonts w:ascii="Open Sans" w:hAnsi="Open Sans" w:cs="Open Sans"/>
                <w:i/>
                <w:iCs/>
                <w:szCs w:val="22"/>
                <w:highlight w:val="green"/>
                <w:lang w:val="en-CA"/>
              </w:rPr>
            </w:pPr>
          </w:p>
          <w:p w14:paraId="0F590C5E" w14:textId="5239D81C" w:rsidR="006B4D15" w:rsidRPr="00953221" w:rsidRDefault="006B4D15" w:rsidP="00A46D40">
            <w:pPr>
              <w:spacing w:after="200" w:line="276" w:lineRule="auto"/>
              <w:rPr>
                <w:rFonts w:ascii="Open Sans" w:hAnsi="Open Sans" w:cs="Open Sans"/>
                <w:i/>
                <w:iCs/>
                <w:szCs w:val="22"/>
                <w:highlight w:val="green"/>
                <w:lang w:val="en-CA"/>
              </w:rPr>
            </w:pPr>
          </w:p>
        </w:tc>
        <w:tc>
          <w:tcPr>
            <w:tcW w:w="3150" w:type="dxa"/>
          </w:tcPr>
          <w:p w14:paraId="663C20E7" w14:textId="2B57F138" w:rsidR="006B4D15" w:rsidRPr="00E82233" w:rsidRDefault="006B4D15" w:rsidP="00E82233">
            <w:pPr>
              <w:spacing w:after="200" w:line="276" w:lineRule="auto"/>
              <w:rPr>
                <w:rFonts w:ascii="Open Sans" w:hAnsi="Open Sans" w:cs="Open Sans"/>
                <w:szCs w:val="22"/>
                <w:lang w:val="en-CA"/>
              </w:rPr>
            </w:pPr>
            <w:r w:rsidRPr="00EA54B3">
              <w:rPr>
                <w:rFonts w:ascii="Open Sans" w:hAnsi="Open Sans" w:cs="Open Sans"/>
                <w:szCs w:val="22"/>
                <w:highlight w:val="cyan"/>
                <w:lang w:val="en-CA"/>
              </w:rPr>
              <w:t>BOG -19 Naming (Governance)</w:t>
            </w:r>
          </w:p>
        </w:tc>
      </w:tr>
      <w:tr w:rsidR="006B4D15" w:rsidRPr="00E82233" w14:paraId="33841D4F" w14:textId="77777777" w:rsidTr="00EA54B3">
        <w:trPr>
          <w:trHeight w:val="269"/>
        </w:trPr>
        <w:tc>
          <w:tcPr>
            <w:tcW w:w="782" w:type="dxa"/>
          </w:tcPr>
          <w:p w14:paraId="2C7379C7" w14:textId="6367190B"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2022-2023</w:t>
            </w:r>
          </w:p>
        </w:tc>
        <w:tc>
          <w:tcPr>
            <w:tcW w:w="2453" w:type="dxa"/>
          </w:tcPr>
          <w:p w14:paraId="65139D9C" w14:textId="77777777" w:rsidR="006B4D15" w:rsidRPr="00E82233" w:rsidRDefault="006B4D15" w:rsidP="00E82233">
            <w:pPr>
              <w:spacing w:after="200" w:line="276" w:lineRule="auto"/>
              <w:rPr>
                <w:rFonts w:ascii="Open Sans" w:hAnsi="Open Sans" w:cs="Open Sans"/>
                <w:szCs w:val="22"/>
                <w:lang w:val="en-CA"/>
              </w:rPr>
            </w:pPr>
          </w:p>
        </w:tc>
        <w:tc>
          <w:tcPr>
            <w:tcW w:w="3150" w:type="dxa"/>
          </w:tcPr>
          <w:p w14:paraId="3C924D1A" w14:textId="12F65D95" w:rsidR="006B4D15" w:rsidRPr="00E82233" w:rsidRDefault="006B4D15" w:rsidP="00E82233">
            <w:pPr>
              <w:spacing w:after="200" w:line="276" w:lineRule="auto"/>
              <w:rPr>
                <w:rFonts w:ascii="Open Sans" w:hAnsi="Open Sans" w:cs="Open Sans"/>
                <w:szCs w:val="22"/>
                <w:lang w:val="en-CA"/>
              </w:rPr>
            </w:pPr>
            <w:r w:rsidRPr="00EA54B3">
              <w:rPr>
                <w:rFonts w:ascii="Open Sans" w:hAnsi="Open Sans" w:cs="Open Sans"/>
                <w:szCs w:val="22"/>
                <w:highlight w:val="yellow"/>
                <w:lang w:val="en-CA"/>
              </w:rPr>
              <w:t>BOG-20 Presidents Emeriti (HR Committee)</w:t>
            </w:r>
          </w:p>
        </w:tc>
        <w:tc>
          <w:tcPr>
            <w:tcW w:w="3510" w:type="dxa"/>
          </w:tcPr>
          <w:p w14:paraId="53A4B9B5" w14:textId="0A47C97C" w:rsidR="006B4D15" w:rsidRPr="00260C36" w:rsidRDefault="00AB45A5" w:rsidP="00E82233">
            <w:pPr>
              <w:spacing w:after="200" w:line="276" w:lineRule="auto"/>
              <w:rPr>
                <w:rFonts w:ascii="Open Sans" w:hAnsi="Open Sans" w:cs="Open Sans"/>
                <w:szCs w:val="22"/>
                <w:highlight w:val="yellow"/>
                <w:lang w:val="en-CA"/>
              </w:rPr>
            </w:pPr>
            <w:r w:rsidRPr="00260C36">
              <w:rPr>
                <w:rFonts w:ascii="Open Sans" w:hAnsi="Open Sans" w:cs="Open Sans"/>
                <w:szCs w:val="22"/>
                <w:highlight w:val="yellow"/>
                <w:lang w:val="en-CA"/>
              </w:rPr>
              <w:t>BOG-13 Human Resources</w:t>
            </w:r>
            <w:r w:rsidR="00A163EF" w:rsidRPr="00260C36">
              <w:rPr>
                <w:rFonts w:ascii="Open Sans" w:hAnsi="Open Sans" w:cs="Open Sans"/>
                <w:szCs w:val="22"/>
                <w:highlight w:val="yellow"/>
                <w:lang w:val="en-CA"/>
              </w:rPr>
              <w:t xml:space="preserve"> (HR Committee) </w:t>
            </w:r>
          </w:p>
        </w:tc>
        <w:tc>
          <w:tcPr>
            <w:tcW w:w="3150" w:type="dxa"/>
          </w:tcPr>
          <w:p w14:paraId="717537BB" w14:textId="73C12194" w:rsidR="006B4D15" w:rsidRPr="00E82233" w:rsidRDefault="006B4D15" w:rsidP="00E82233">
            <w:pPr>
              <w:spacing w:after="200" w:line="276" w:lineRule="auto"/>
              <w:rPr>
                <w:rFonts w:ascii="Open Sans" w:hAnsi="Open Sans" w:cs="Open Sans"/>
                <w:szCs w:val="22"/>
                <w:lang w:val="en-CA"/>
              </w:rPr>
            </w:pPr>
            <w:r w:rsidRPr="00EA54B3">
              <w:rPr>
                <w:rFonts w:ascii="Open Sans" w:hAnsi="Open Sans" w:cs="Open Sans"/>
                <w:szCs w:val="22"/>
                <w:highlight w:val="cyan"/>
                <w:lang w:val="en-CA"/>
              </w:rPr>
              <w:t>BOG-05 Code of Conduct (Governance)</w:t>
            </w:r>
          </w:p>
        </w:tc>
      </w:tr>
      <w:tr w:rsidR="006B4D15" w:rsidRPr="00E82233" w14:paraId="57F827F8" w14:textId="77777777" w:rsidTr="00EA54B3">
        <w:trPr>
          <w:trHeight w:val="269"/>
        </w:trPr>
        <w:tc>
          <w:tcPr>
            <w:tcW w:w="782" w:type="dxa"/>
          </w:tcPr>
          <w:p w14:paraId="02D63870" w14:textId="35761A23"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2023-2024</w:t>
            </w:r>
          </w:p>
        </w:tc>
        <w:tc>
          <w:tcPr>
            <w:tcW w:w="2453" w:type="dxa"/>
          </w:tcPr>
          <w:p w14:paraId="6F3FC194" w14:textId="25638322" w:rsidR="006B4D15" w:rsidRPr="00E82233" w:rsidRDefault="006B4D15" w:rsidP="00E82233">
            <w:pPr>
              <w:spacing w:after="200" w:line="276" w:lineRule="auto"/>
              <w:rPr>
                <w:rFonts w:ascii="Open Sans" w:hAnsi="Open Sans" w:cs="Open Sans"/>
                <w:szCs w:val="22"/>
                <w:lang w:val="en-CA"/>
              </w:rPr>
            </w:pPr>
          </w:p>
        </w:tc>
        <w:tc>
          <w:tcPr>
            <w:tcW w:w="3150" w:type="dxa"/>
          </w:tcPr>
          <w:p w14:paraId="1FE4DCE3" w14:textId="36F91883" w:rsidR="006B4D15" w:rsidRDefault="006B4D15" w:rsidP="00E82233">
            <w:pPr>
              <w:spacing w:after="200" w:line="276" w:lineRule="auto"/>
              <w:rPr>
                <w:rFonts w:ascii="Open Sans" w:hAnsi="Open Sans" w:cs="Open Sans"/>
                <w:szCs w:val="22"/>
                <w:lang w:val="en-CA"/>
              </w:rPr>
            </w:pPr>
            <w:r w:rsidRPr="00EA54B3">
              <w:rPr>
                <w:rFonts w:ascii="Open Sans" w:hAnsi="Open Sans" w:cs="Open Sans"/>
                <w:szCs w:val="22"/>
                <w:highlight w:val="yellow"/>
                <w:lang w:val="en-CA"/>
              </w:rPr>
              <w:t>BOG-03 President Responsibilities (HR Committee)</w:t>
            </w:r>
            <w:r>
              <w:rPr>
                <w:rFonts w:ascii="Open Sans" w:hAnsi="Open Sans" w:cs="Open Sans"/>
                <w:szCs w:val="22"/>
                <w:lang w:val="en-CA"/>
              </w:rPr>
              <w:t xml:space="preserve"> </w:t>
            </w:r>
          </w:p>
          <w:p w14:paraId="124BBE96" w14:textId="02DAE70A" w:rsidR="006B4D15" w:rsidRDefault="006B4D15" w:rsidP="00E82233">
            <w:pPr>
              <w:spacing w:after="200" w:line="276" w:lineRule="auto"/>
              <w:rPr>
                <w:rFonts w:ascii="Open Sans" w:hAnsi="Open Sans" w:cs="Open Sans"/>
                <w:szCs w:val="22"/>
                <w:lang w:val="en-CA"/>
              </w:rPr>
            </w:pPr>
            <w:r w:rsidRPr="00953221">
              <w:rPr>
                <w:rFonts w:ascii="Open Sans" w:hAnsi="Open Sans" w:cs="Open Sans"/>
                <w:szCs w:val="22"/>
                <w:highlight w:val="cyan"/>
                <w:lang w:val="en-CA"/>
              </w:rPr>
              <w:t>BOG-06 Board Governance (G</w:t>
            </w:r>
            <w:r w:rsidR="00953221" w:rsidRPr="00953221">
              <w:rPr>
                <w:rFonts w:ascii="Open Sans" w:hAnsi="Open Sans" w:cs="Open Sans"/>
                <w:szCs w:val="22"/>
                <w:highlight w:val="cyan"/>
                <w:lang w:val="en-CA"/>
              </w:rPr>
              <w:t>overnance</w:t>
            </w:r>
            <w:r w:rsidRPr="00953221">
              <w:rPr>
                <w:rFonts w:ascii="Open Sans" w:hAnsi="Open Sans" w:cs="Open Sans"/>
                <w:szCs w:val="22"/>
                <w:highlight w:val="cyan"/>
                <w:lang w:val="en-CA"/>
              </w:rPr>
              <w:t>)</w:t>
            </w:r>
          </w:p>
          <w:p w14:paraId="7BF24100" w14:textId="4AC568A1" w:rsidR="006B4D15" w:rsidRPr="00E82233" w:rsidRDefault="006B4D15" w:rsidP="00E82233">
            <w:pPr>
              <w:spacing w:after="200" w:line="276" w:lineRule="auto"/>
              <w:rPr>
                <w:rFonts w:ascii="Open Sans" w:hAnsi="Open Sans" w:cs="Open Sans"/>
                <w:szCs w:val="22"/>
                <w:lang w:val="en-CA"/>
              </w:rPr>
            </w:pPr>
          </w:p>
        </w:tc>
        <w:tc>
          <w:tcPr>
            <w:tcW w:w="3510" w:type="dxa"/>
          </w:tcPr>
          <w:p w14:paraId="72C821D1" w14:textId="43013A9E" w:rsidR="006B4D15" w:rsidRDefault="006B4D15" w:rsidP="00457404">
            <w:pPr>
              <w:spacing w:after="200" w:line="276" w:lineRule="auto"/>
              <w:rPr>
                <w:rFonts w:ascii="Open Sans" w:hAnsi="Open Sans" w:cs="Open Sans"/>
                <w:szCs w:val="22"/>
                <w:lang w:val="en-CA"/>
              </w:rPr>
            </w:pPr>
            <w:r w:rsidRPr="00953221">
              <w:rPr>
                <w:rFonts w:ascii="Open Sans" w:hAnsi="Open Sans" w:cs="Open Sans"/>
                <w:szCs w:val="22"/>
                <w:highlight w:val="yellow"/>
                <w:lang w:val="en-CA"/>
              </w:rPr>
              <w:t>BOG-07 Monitoring President’s Performance (HR Committee)</w:t>
            </w:r>
          </w:p>
          <w:p w14:paraId="17B4A60C" w14:textId="77777777" w:rsidR="006B4D15" w:rsidRPr="00E82233" w:rsidRDefault="006B4D15" w:rsidP="00E82233">
            <w:pPr>
              <w:spacing w:after="200" w:line="276" w:lineRule="auto"/>
              <w:rPr>
                <w:rFonts w:ascii="Open Sans" w:hAnsi="Open Sans" w:cs="Open Sans"/>
                <w:szCs w:val="22"/>
                <w:lang w:val="en-CA"/>
              </w:rPr>
            </w:pPr>
          </w:p>
        </w:tc>
        <w:tc>
          <w:tcPr>
            <w:tcW w:w="3150" w:type="dxa"/>
          </w:tcPr>
          <w:p w14:paraId="0852D661" w14:textId="62938981" w:rsidR="006B4D15" w:rsidRPr="00E82233" w:rsidRDefault="006B4D15" w:rsidP="00E82233">
            <w:pPr>
              <w:spacing w:after="200" w:line="276" w:lineRule="auto"/>
              <w:rPr>
                <w:rFonts w:ascii="Open Sans" w:hAnsi="Open Sans" w:cs="Open Sans"/>
                <w:szCs w:val="22"/>
                <w:lang w:val="en-CA"/>
              </w:rPr>
            </w:pPr>
            <w:r w:rsidRPr="00953221">
              <w:rPr>
                <w:rFonts w:ascii="Open Sans" w:hAnsi="Open Sans" w:cs="Open Sans"/>
                <w:szCs w:val="22"/>
                <w:highlight w:val="yellow"/>
                <w:lang w:val="en-CA"/>
              </w:rPr>
              <w:t>BOG-08 Monitoring Board Performance (HR Committee)</w:t>
            </w:r>
            <w:r>
              <w:rPr>
                <w:rFonts w:ascii="Open Sans" w:hAnsi="Open Sans" w:cs="Open Sans"/>
                <w:szCs w:val="22"/>
                <w:lang w:val="en-CA"/>
              </w:rPr>
              <w:t xml:space="preserve"> </w:t>
            </w:r>
          </w:p>
        </w:tc>
      </w:tr>
      <w:tr w:rsidR="006B4D15" w:rsidRPr="00E82233" w14:paraId="2E302E58" w14:textId="77777777" w:rsidTr="00EA54B3">
        <w:trPr>
          <w:trHeight w:val="269"/>
        </w:trPr>
        <w:tc>
          <w:tcPr>
            <w:tcW w:w="782" w:type="dxa"/>
          </w:tcPr>
          <w:p w14:paraId="06BF78A6" w14:textId="5E4D768A" w:rsidR="006B4D15" w:rsidRDefault="006B4D15" w:rsidP="00E82233">
            <w:pPr>
              <w:spacing w:after="200" w:line="276" w:lineRule="auto"/>
              <w:rPr>
                <w:rFonts w:ascii="Open Sans" w:hAnsi="Open Sans" w:cs="Open Sans"/>
                <w:szCs w:val="22"/>
                <w:lang w:val="en-CA"/>
              </w:rPr>
            </w:pPr>
            <w:r>
              <w:rPr>
                <w:rFonts w:ascii="Open Sans" w:hAnsi="Open Sans" w:cs="Open Sans"/>
                <w:szCs w:val="22"/>
                <w:lang w:val="en-CA"/>
              </w:rPr>
              <w:t>2024-2025</w:t>
            </w:r>
          </w:p>
        </w:tc>
        <w:tc>
          <w:tcPr>
            <w:tcW w:w="2453" w:type="dxa"/>
          </w:tcPr>
          <w:p w14:paraId="72AF3E47" w14:textId="189A9D62" w:rsidR="006B4D15" w:rsidRDefault="006B4D15" w:rsidP="00E82233">
            <w:pPr>
              <w:spacing w:after="200" w:line="276" w:lineRule="auto"/>
              <w:rPr>
                <w:rFonts w:ascii="Open Sans" w:hAnsi="Open Sans" w:cs="Open Sans"/>
                <w:szCs w:val="22"/>
                <w:lang w:val="en-CA"/>
              </w:rPr>
            </w:pPr>
            <w:r w:rsidRPr="00953221">
              <w:rPr>
                <w:rFonts w:ascii="Open Sans" w:hAnsi="Open Sans" w:cs="Open Sans"/>
                <w:szCs w:val="22"/>
                <w:highlight w:val="cyan"/>
                <w:lang w:val="en-CA"/>
              </w:rPr>
              <w:t xml:space="preserve">BOG-10 Community Campus Committee </w:t>
            </w:r>
            <w:r w:rsidRPr="00953221">
              <w:rPr>
                <w:rFonts w:ascii="Open Sans" w:hAnsi="Open Sans" w:cs="Open Sans"/>
                <w:szCs w:val="22"/>
                <w:highlight w:val="cyan"/>
                <w:lang w:val="en-CA"/>
              </w:rPr>
              <w:lastRenderedPageBreak/>
              <w:t>Relationship (Governance)</w:t>
            </w:r>
            <w:r>
              <w:rPr>
                <w:rFonts w:ascii="Open Sans" w:hAnsi="Open Sans" w:cs="Open Sans"/>
                <w:szCs w:val="22"/>
                <w:lang w:val="en-CA"/>
              </w:rPr>
              <w:t xml:space="preserve"> </w:t>
            </w:r>
          </w:p>
          <w:p w14:paraId="7A841C0B" w14:textId="7C556276" w:rsidR="006B4D15" w:rsidRPr="00E82233" w:rsidRDefault="006B4D15" w:rsidP="003C133F">
            <w:pPr>
              <w:spacing w:after="200" w:line="276" w:lineRule="auto"/>
              <w:rPr>
                <w:rFonts w:ascii="Open Sans" w:hAnsi="Open Sans" w:cs="Open Sans"/>
                <w:szCs w:val="22"/>
                <w:lang w:val="en-CA"/>
              </w:rPr>
            </w:pPr>
          </w:p>
        </w:tc>
        <w:tc>
          <w:tcPr>
            <w:tcW w:w="3150" w:type="dxa"/>
          </w:tcPr>
          <w:p w14:paraId="41926BA6" w14:textId="210F987E" w:rsidR="006B4D15" w:rsidRDefault="006B4D15" w:rsidP="00E82233">
            <w:pPr>
              <w:spacing w:after="200" w:line="276" w:lineRule="auto"/>
              <w:rPr>
                <w:rFonts w:ascii="Open Sans" w:hAnsi="Open Sans" w:cs="Open Sans"/>
                <w:szCs w:val="22"/>
                <w:lang w:val="en-CA"/>
              </w:rPr>
            </w:pPr>
            <w:r w:rsidRPr="00953221">
              <w:rPr>
                <w:rFonts w:ascii="Open Sans" w:hAnsi="Open Sans" w:cs="Open Sans"/>
                <w:szCs w:val="22"/>
                <w:highlight w:val="yellow"/>
                <w:lang w:val="en-CA"/>
              </w:rPr>
              <w:lastRenderedPageBreak/>
              <w:t>BOG-</w:t>
            </w:r>
            <w:r w:rsidR="000E7FA9" w:rsidRPr="00953221">
              <w:rPr>
                <w:rFonts w:ascii="Open Sans" w:hAnsi="Open Sans" w:cs="Open Sans"/>
                <w:szCs w:val="22"/>
                <w:highlight w:val="yellow"/>
                <w:lang w:val="en-CA"/>
              </w:rPr>
              <w:t>21</w:t>
            </w:r>
            <w:r w:rsidR="00472808" w:rsidRPr="00953221">
              <w:rPr>
                <w:rFonts w:ascii="Open Sans" w:hAnsi="Open Sans" w:cs="Open Sans"/>
                <w:szCs w:val="22"/>
                <w:highlight w:val="yellow"/>
                <w:lang w:val="en-CA"/>
              </w:rPr>
              <w:t xml:space="preserve"> </w:t>
            </w:r>
            <w:r w:rsidRPr="00953221">
              <w:rPr>
                <w:rFonts w:ascii="Open Sans" w:hAnsi="Open Sans" w:cs="Open Sans"/>
                <w:szCs w:val="22"/>
                <w:highlight w:val="yellow"/>
                <w:lang w:val="en-CA"/>
              </w:rPr>
              <w:t>Chancellor Selection Policy (HR Committee)</w:t>
            </w:r>
          </w:p>
          <w:p w14:paraId="29C43DA1" w14:textId="270E9971" w:rsidR="006B4D15" w:rsidRDefault="006B4D15" w:rsidP="00076A9A">
            <w:pPr>
              <w:spacing w:after="200" w:line="276" w:lineRule="auto"/>
              <w:rPr>
                <w:rFonts w:ascii="Open Sans" w:hAnsi="Open Sans" w:cs="Open Sans"/>
                <w:szCs w:val="22"/>
                <w:lang w:val="en-CA"/>
              </w:rPr>
            </w:pPr>
            <w:r w:rsidRPr="00953221">
              <w:rPr>
                <w:rFonts w:ascii="Open Sans" w:hAnsi="Open Sans" w:cs="Open Sans"/>
                <w:szCs w:val="22"/>
                <w:highlight w:val="green"/>
                <w:lang w:val="en-CA"/>
              </w:rPr>
              <w:lastRenderedPageBreak/>
              <w:t>BOG – 15- Credit program tuition fee adjustment (FARC)</w:t>
            </w:r>
          </w:p>
          <w:p w14:paraId="43088F9E" w14:textId="77777777" w:rsidR="003C133F" w:rsidRDefault="003C133F" w:rsidP="003C133F">
            <w:pPr>
              <w:spacing w:after="200" w:line="276" w:lineRule="auto"/>
              <w:rPr>
                <w:rFonts w:ascii="Open Sans" w:hAnsi="Open Sans" w:cs="Open Sans"/>
                <w:szCs w:val="22"/>
                <w:lang w:val="en-CA"/>
              </w:rPr>
            </w:pPr>
            <w:r w:rsidRPr="00953221">
              <w:rPr>
                <w:rFonts w:ascii="Open Sans" w:hAnsi="Open Sans" w:cs="Open Sans"/>
                <w:szCs w:val="22"/>
                <w:highlight w:val="cyan"/>
                <w:lang w:val="en-CA"/>
              </w:rPr>
              <w:t>BOG-14 Annual Planning Cycle (Governance)</w:t>
            </w:r>
            <w:r>
              <w:rPr>
                <w:rFonts w:ascii="Open Sans" w:hAnsi="Open Sans" w:cs="Open Sans"/>
                <w:szCs w:val="22"/>
                <w:lang w:val="en-CA"/>
              </w:rPr>
              <w:t xml:space="preserve"> </w:t>
            </w:r>
          </w:p>
          <w:p w14:paraId="3934C47D" w14:textId="293889DC" w:rsidR="006B4D15" w:rsidRDefault="006B4D15" w:rsidP="00E82233">
            <w:pPr>
              <w:spacing w:after="200" w:line="276" w:lineRule="auto"/>
              <w:rPr>
                <w:rFonts w:ascii="Open Sans" w:hAnsi="Open Sans" w:cs="Open Sans"/>
                <w:szCs w:val="22"/>
                <w:lang w:val="en-CA"/>
              </w:rPr>
            </w:pPr>
          </w:p>
        </w:tc>
        <w:tc>
          <w:tcPr>
            <w:tcW w:w="3510" w:type="dxa"/>
          </w:tcPr>
          <w:p w14:paraId="525C0C28" w14:textId="1B855C3E" w:rsidR="006B4D15" w:rsidRPr="00E82233" w:rsidRDefault="006B4D15" w:rsidP="00FA3B0D">
            <w:pPr>
              <w:spacing w:after="200" w:line="276" w:lineRule="auto"/>
              <w:rPr>
                <w:rFonts w:ascii="Open Sans" w:hAnsi="Open Sans" w:cs="Open Sans"/>
                <w:szCs w:val="22"/>
                <w:lang w:val="en-CA"/>
              </w:rPr>
            </w:pPr>
            <w:r w:rsidRPr="00953221">
              <w:rPr>
                <w:rFonts w:ascii="Open Sans" w:hAnsi="Open Sans" w:cs="Open Sans"/>
                <w:szCs w:val="22"/>
                <w:highlight w:val="green"/>
                <w:lang w:val="en-CA"/>
              </w:rPr>
              <w:lastRenderedPageBreak/>
              <w:t>BOG-09 – Financial Accountability and Risk Management (FARC)</w:t>
            </w:r>
          </w:p>
          <w:p w14:paraId="10B44E00" w14:textId="77777777" w:rsidR="00910C14" w:rsidRDefault="00910C14" w:rsidP="00910C14">
            <w:pPr>
              <w:spacing w:after="200" w:line="276" w:lineRule="auto"/>
              <w:rPr>
                <w:rFonts w:ascii="Open Sans" w:hAnsi="Open Sans" w:cs="Open Sans"/>
                <w:szCs w:val="22"/>
                <w:lang w:val="en-CA"/>
              </w:rPr>
            </w:pPr>
            <w:r w:rsidRPr="00953221">
              <w:rPr>
                <w:rFonts w:ascii="Open Sans" w:hAnsi="Open Sans" w:cs="Open Sans"/>
                <w:szCs w:val="22"/>
                <w:highlight w:val="yellow"/>
                <w:lang w:val="en-CA"/>
              </w:rPr>
              <w:lastRenderedPageBreak/>
              <w:t>BOG – 18 Service Recognition (HR committee)</w:t>
            </w:r>
          </w:p>
          <w:p w14:paraId="052D7350" w14:textId="77777777" w:rsidR="003C133F" w:rsidRPr="00076A9A" w:rsidRDefault="003C133F" w:rsidP="003C133F">
            <w:pPr>
              <w:spacing w:after="200" w:line="276" w:lineRule="auto"/>
              <w:rPr>
                <w:rFonts w:ascii="Open Sans" w:hAnsi="Open Sans" w:cs="Open Sans"/>
                <w:szCs w:val="22"/>
                <w:lang w:val="en-CA"/>
              </w:rPr>
            </w:pPr>
            <w:r w:rsidRPr="00953221">
              <w:rPr>
                <w:rFonts w:ascii="Open Sans" w:hAnsi="Open Sans" w:cs="Open Sans"/>
                <w:szCs w:val="22"/>
                <w:highlight w:val="cyan"/>
                <w:lang w:val="en-CA"/>
              </w:rPr>
              <w:t>BOG -01 Yukon University Board responsibilities (Governance)</w:t>
            </w:r>
          </w:p>
          <w:p w14:paraId="3862B7DE" w14:textId="77777777" w:rsidR="006B4D15" w:rsidRPr="00E82233" w:rsidRDefault="006B4D15" w:rsidP="00E82233">
            <w:pPr>
              <w:spacing w:after="200" w:line="276" w:lineRule="auto"/>
              <w:rPr>
                <w:rFonts w:ascii="Open Sans" w:hAnsi="Open Sans" w:cs="Open Sans"/>
                <w:szCs w:val="22"/>
                <w:lang w:val="en-CA"/>
              </w:rPr>
            </w:pPr>
          </w:p>
        </w:tc>
        <w:tc>
          <w:tcPr>
            <w:tcW w:w="3150" w:type="dxa"/>
          </w:tcPr>
          <w:p w14:paraId="00FD5F23" w14:textId="77777777" w:rsidR="006B4D15" w:rsidRPr="00076A9A" w:rsidRDefault="006B4D15" w:rsidP="00076A9A">
            <w:pPr>
              <w:spacing w:after="200" w:line="276" w:lineRule="auto"/>
              <w:rPr>
                <w:rFonts w:ascii="Open Sans" w:hAnsi="Open Sans" w:cs="Open Sans"/>
                <w:szCs w:val="22"/>
                <w:lang w:val="en-CA"/>
              </w:rPr>
            </w:pPr>
            <w:r w:rsidRPr="00953221">
              <w:rPr>
                <w:rFonts w:ascii="Open Sans" w:hAnsi="Open Sans" w:cs="Open Sans"/>
                <w:szCs w:val="22"/>
                <w:highlight w:val="cyan"/>
                <w:lang w:val="en-CA"/>
              </w:rPr>
              <w:lastRenderedPageBreak/>
              <w:t>BOG -02 Board member Responsibilities (Governance)</w:t>
            </w:r>
          </w:p>
          <w:p w14:paraId="51F0C677" w14:textId="77777777" w:rsidR="006B4D15" w:rsidRPr="00076A9A" w:rsidRDefault="006B4D15" w:rsidP="00076A9A">
            <w:pPr>
              <w:spacing w:after="200" w:line="276" w:lineRule="auto"/>
              <w:rPr>
                <w:rFonts w:ascii="Open Sans" w:hAnsi="Open Sans" w:cs="Open Sans"/>
                <w:szCs w:val="22"/>
                <w:lang w:val="en-CA"/>
              </w:rPr>
            </w:pPr>
          </w:p>
          <w:p w14:paraId="3E348BED" w14:textId="45B2E39B" w:rsidR="006B4D15" w:rsidRDefault="006B4D15" w:rsidP="00E82233">
            <w:pPr>
              <w:spacing w:after="200" w:line="276" w:lineRule="auto"/>
              <w:rPr>
                <w:rFonts w:ascii="Open Sans" w:hAnsi="Open Sans" w:cs="Open Sans"/>
                <w:szCs w:val="22"/>
                <w:lang w:val="en-CA"/>
              </w:rPr>
            </w:pPr>
          </w:p>
        </w:tc>
      </w:tr>
    </w:tbl>
    <w:p w14:paraId="54BB77B6" w14:textId="525BC730" w:rsidR="00E82233" w:rsidRDefault="00E82233" w:rsidP="00944CF1">
      <w:pPr>
        <w:spacing w:after="200" w:line="276" w:lineRule="auto"/>
        <w:rPr>
          <w:rFonts w:ascii="Open Sans" w:hAnsi="Open Sans" w:cs="Open Sans"/>
          <w:szCs w:val="22"/>
          <w:lang w:val="en-CA"/>
        </w:rPr>
      </w:pPr>
    </w:p>
    <w:p w14:paraId="54A96B29" w14:textId="38B59AC8" w:rsidR="00037EF8" w:rsidRPr="00037EF8" w:rsidRDefault="00037EF8" w:rsidP="00037EF8">
      <w:pPr>
        <w:spacing w:after="200" w:line="276" w:lineRule="auto"/>
        <w:rPr>
          <w:rFonts w:ascii="Open Sans" w:hAnsi="Open Sans" w:cs="Open Sans"/>
          <w:b/>
          <w:bCs/>
          <w:szCs w:val="22"/>
          <w:lang w:val="en-CA"/>
        </w:rPr>
      </w:pPr>
      <w:r w:rsidRPr="00037EF8">
        <w:rPr>
          <w:rFonts w:ascii="Open Sans" w:hAnsi="Open Sans" w:cs="Open Sans"/>
          <w:b/>
          <w:bCs/>
          <w:szCs w:val="22"/>
          <w:lang w:val="en-CA"/>
        </w:rPr>
        <w:t>Other</w:t>
      </w:r>
      <w:r w:rsidR="00BA7D8E">
        <w:rPr>
          <w:rFonts w:ascii="Open Sans" w:hAnsi="Open Sans" w:cs="Open Sans"/>
          <w:b/>
          <w:bCs/>
          <w:szCs w:val="22"/>
          <w:lang w:val="en-CA"/>
        </w:rPr>
        <w:t xml:space="preserve"> </w:t>
      </w:r>
      <w:r w:rsidR="00BA7D8E" w:rsidRPr="00FE1FD0">
        <w:rPr>
          <w:rFonts w:ascii="Open Sans" w:hAnsi="Open Sans" w:cs="Open Sans"/>
          <w:b/>
          <w:bCs/>
          <w:szCs w:val="22"/>
          <w:u w:val="single"/>
          <w:lang w:val="en-CA"/>
        </w:rPr>
        <w:t>Yukon Univers</w:t>
      </w:r>
      <w:r w:rsidR="00F44E35" w:rsidRPr="00FE1FD0">
        <w:rPr>
          <w:rFonts w:ascii="Open Sans" w:hAnsi="Open Sans" w:cs="Open Sans"/>
          <w:b/>
          <w:bCs/>
          <w:szCs w:val="22"/>
          <w:u w:val="single"/>
          <w:lang w:val="en-CA"/>
        </w:rPr>
        <w:t>i</w:t>
      </w:r>
      <w:r w:rsidR="00BA7D8E" w:rsidRPr="00FE1FD0">
        <w:rPr>
          <w:rFonts w:ascii="Open Sans" w:hAnsi="Open Sans" w:cs="Open Sans"/>
          <w:b/>
          <w:bCs/>
          <w:szCs w:val="22"/>
          <w:u w:val="single"/>
          <w:lang w:val="en-CA"/>
        </w:rPr>
        <w:t>ty</w:t>
      </w:r>
      <w:r w:rsidR="00F44E35">
        <w:rPr>
          <w:rFonts w:ascii="Open Sans" w:hAnsi="Open Sans" w:cs="Open Sans"/>
          <w:b/>
          <w:bCs/>
          <w:szCs w:val="22"/>
          <w:lang w:val="en-CA"/>
        </w:rPr>
        <w:t xml:space="preserve"> </w:t>
      </w:r>
      <w:r w:rsidR="00CC256C">
        <w:rPr>
          <w:rFonts w:ascii="Open Sans" w:hAnsi="Open Sans" w:cs="Open Sans"/>
          <w:b/>
          <w:bCs/>
          <w:szCs w:val="22"/>
          <w:lang w:val="en-CA"/>
        </w:rPr>
        <w:t>Policies</w:t>
      </w:r>
      <w:r w:rsidRPr="00037EF8">
        <w:rPr>
          <w:rFonts w:ascii="Open Sans" w:hAnsi="Open Sans" w:cs="Open Sans"/>
          <w:b/>
          <w:bCs/>
          <w:szCs w:val="22"/>
          <w:lang w:val="en-CA"/>
        </w:rPr>
        <w:t xml:space="preserve"> from Finance</w:t>
      </w:r>
      <w:r w:rsidR="00CC256C">
        <w:rPr>
          <w:rFonts w:ascii="Open Sans" w:hAnsi="Open Sans" w:cs="Open Sans"/>
          <w:b/>
          <w:bCs/>
          <w:szCs w:val="22"/>
          <w:lang w:val="en-CA"/>
        </w:rPr>
        <w:t xml:space="preserve"> that</w:t>
      </w:r>
      <w:r w:rsidR="00FE1FD0">
        <w:rPr>
          <w:rFonts w:ascii="Open Sans" w:hAnsi="Open Sans" w:cs="Open Sans"/>
          <w:b/>
          <w:bCs/>
          <w:szCs w:val="22"/>
          <w:lang w:val="en-CA"/>
        </w:rPr>
        <w:t xml:space="preserve"> will</w:t>
      </w:r>
      <w:r w:rsidR="00A34DBE">
        <w:rPr>
          <w:rFonts w:ascii="Open Sans" w:hAnsi="Open Sans" w:cs="Open Sans"/>
          <w:b/>
          <w:bCs/>
          <w:szCs w:val="22"/>
          <w:lang w:val="en-CA"/>
        </w:rPr>
        <w:t xml:space="preserve"> </w:t>
      </w:r>
      <w:r w:rsidR="00CC256C">
        <w:rPr>
          <w:rFonts w:ascii="Open Sans" w:hAnsi="Open Sans" w:cs="Open Sans"/>
          <w:b/>
          <w:bCs/>
          <w:szCs w:val="22"/>
          <w:lang w:val="en-CA"/>
        </w:rPr>
        <w:t>require Board approval</w:t>
      </w:r>
      <w:r w:rsidRPr="00037EF8">
        <w:rPr>
          <w:rFonts w:ascii="Open Sans" w:hAnsi="Open Sans" w:cs="Open Sans"/>
          <w:b/>
          <w:bCs/>
          <w:szCs w:val="22"/>
          <w:lang w:val="en-CA"/>
        </w:rPr>
        <w:t xml:space="preserve">: </w:t>
      </w:r>
    </w:p>
    <w:p w14:paraId="0280F5A4" w14:textId="2C26D9DF" w:rsidR="00037EF8" w:rsidRPr="00037EF8" w:rsidRDefault="00037EF8" w:rsidP="00037EF8">
      <w:pPr>
        <w:numPr>
          <w:ilvl w:val="0"/>
          <w:numId w:val="16"/>
        </w:numPr>
        <w:spacing w:after="200" w:line="276" w:lineRule="auto"/>
        <w:contextualSpacing/>
        <w:rPr>
          <w:rFonts w:ascii="Open Sans" w:hAnsi="Open Sans" w:cs="Open Sans"/>
          <w:szCs w:val="22"/>
          <w:lang w:val="en-CA"/>
        </w:rPr>
      </w:pPr>
      <w:r w:rsidRPr="00037EF8">
        <w:rPr>
          <w:rFonts w:ascii="Open Sans" w:hAnsi="Open Sans" w:cs="Open Sans"/>
          <w:szCs w:val="22"/>
          <w:lang w:val="en-CA"/>
        </w:rPr>
        <w:t>Signing Authority policy (</w:t>
      </w:r>
      <w:r w:rsidR="008E1005">
        <w:rPr>
          <w:rFonts w:ascii="Open Sans" w:hAnsi="Open Sans" w:cs="Open Sans"/>
          <w:szCs w:val="22"/>
          <w:lang w:val="en-CA"/>
        </w:rPr>
        <w:t>Requires approval from S</w:t>
      </w:r>
      <w:r w:rsidR="0091064B">
        <w:rPr>
          <w:rFonts w:ascii="Open Sans" w:hAnsi="Open Sans" w:cs="Open Sans"/>
          <w:szCs w:val="22"/>
          <w:lang w:val="en-CA"/>
        </w:rPr>
        <w:t>enior</w:t>
      </w:r>
      <w:r w:rsidR="00317F24">
        <w:rPr>
          <w:rFonts w:ascii="Open Sans" w:hAnsi="Open Sans" w:cs="Open Sans"/>
          <w:szCs w:val="22"/>
          <w:lang w:val="en-CA"/>
        </w:rPr>
        <w:t xml:space="preserve"> </w:t>
      </w:r>
      <w:r w:rsidR="00942E29">
        <w:rPr>
          <w:rFonts w:ascii="Open Sans" w:hAnsi="Open Sans" w:cs="Open Sans"/>
          <w:szCs w:val="22"/>
          <w:lang w:val="en-CA"/>
        </w:rPr>
        <w:t xml:space="preserve">Executive </w:t>
      </w:r>
      <w:r w:rsidR="00317F24">
        <w:rPr>
          <w:rFonts w:ascii="Open Sans" w:hAnsi="Open Sans" w:cs="Open Sans"/>
          <w:szCs w:val="22"/>
          <w:lang w:val="en-CA"/>
        </w:rPr>
        <w:t>Team</w:t>
      </w:r>
      <w:r w:rsidR="008D0751">
        <w:rPr>
          <w:rFonts w:ascii="Open Sans" w:hAnsi="Open Sans" w:cs="Open Sans"/>
          <w:szCs w:val="22"/>
          <w:lang w:val="en-CA"/>
        </w:rPr>
        <w:t xml:space="preserve"> before it comes to the Board</w:t>
      </w:r>
      <w:r w:rsidRPr="00037EF8">
        <w:rPr>
          <w:rFonts w:ascii="Open Sans" w:hAnsi="Open Sans" w:cs="Open Sans"/>
          <w:szCs w:val="22"/>
          <w:lang w:val="en-CA"/>
        </w:rPr>
        <w:t>)</w:t>
      </w:r>
    </w:p>
    <w:p w14:paraId="75B8649B" w14:textId="356527B3" w:rsidR="00037EF8" w:rsidRPr="004869C4" w:rsidRDefault="00037EF8" w:rsidP="004869C4">
      <w:pPr>
        <w:numPr>
          <w:ilvl w:val="0"/>
          <w:numId w:val="16"/>
        </w:numPr>
        <w:spacing w:after="200" w:line="276" w:lineRule="auto"/>
        <w:rPr>
          <w:rFonts w:ascii="Open Sans" w:hAnsi="Open Sans" w:cs="Open Sans"/>
          <w:szCs w:val="22"/>
          <w:lang w:val="en-CA"/>
        </w:rPr>
      </w:pPr>
      <w:r w:rsidRPr="00037EF8">
        <w:rPr>
          <w:rFonts w:ascii="Open Sans" w:hAnsi="Open Sans" w:cs="Open Sans"/>
          <w:szCs w:val="22"/>
          <w:lang w:val="en-CA"/>
        </w:rPr>
        <w:t>Risk Management Policy (</w:t>
      </w:r>
      <w:r w:rsidR="00CF66E6">
        <w:rPr>
          <w:rFonts w:ascii="Open Sans" w:hAnsi="Open Sans" w:cs="Open Sans"/>
          <w:szCs w:val="22"/>
          <w:lang w:val="en-CA"/>
        </w:rPr>
        <w:t>Will come after Risk Managemen</w:t>
      </w:r>
      <w:r w:rsidR="008E1005">
        <w:rPr>
          <w:rFonts w:ascii="Open Sans" w:hAnsi="Open Sans" w:cs="Open Sans"/>
          <w:szCs w:val="22"/>
          <w:lang w:val="en-CA"/>
        </w:rPr>
        <w:t>t Framework is completed</w:t>
      </w:r>
      <w:r w:rsidRPr="00037EF8">
        <w:rPr>
          <w:rFonts w:ascii="Open Sans" w:hAnsi="Open Sans" w:cs="Open Sans"/>
          <w:szCs w:val="22"/>
          <w:lang w:val="en-CA"/>
        </w:rPr>
        <w:t>)</w:t>
      </w:r>
    </w:p>
    <w:p w14:paraId="0FAB8099" w14:textId="77777777" w:rsidR="00BA7D8E" w:rsidRPr="00037EF8" w:rsidRDefault="00BA7D8E" w:rsidP="00BA7D8E">
      <w:pPr>
        <w:spacing w:after="200" w:line="276" w:lineRule="auto"/>
        <w:rPr>
          <w:rFonts w:ascii="Open Sans" w:hAnsi="Open Sans" w:cs="Open Sans"/>
          <w:b/>
          <w:bCs/>
          <w:szCs w:val="22"/>
          <w:lang w:val="en-CA"/>
        </w:rPr>
      </w:pPr>
      <w:r>
        <w:rPr>
          <w:rFonts w:ascii="Open Sans" w:hAnsi="Open Sans" w:cs="Open Sans"/>
          <w:b/>
          <w:bCs/>
          <w:szCs w:val="22"/>
          <w:lang w:val="en-CA"/>
        </w:rPr>
        <w:t>Expired:</w:t>
      </w:r>
    </w:p>
    <w:p w14:paraId="41711D89" w14:textId="77777777" w:rsidR="00BA7D8E" w:rsidRPr="00037EF8" w:rsidRDefault="00BA7D8E" w:rsidP="00BA7D8E">
      <w:pPr>
        <w:numPr>
          <w:ilvl w:val="0"/>
          <w:numId w:val="15"/>
        </w:numPr>
        <w:spacing w:after="200" w:line="276" w:lineRule="auto"/>
        <w:contextualSpacing/>
        <w:rPr>
          <w:rFonts w:ascii="Open Sans" w:hAnsi="Open Sans" w:cs="Open Sans"/>
          <w:szCs w:val="22"/>
          <w:lang w:val="en-CA"/>
        </w:rPr>
      </w:pPr>
      <w:r w:rsidRPr="00037EF8">
        <w:rPr>
          <w:rFonts w:ascii="Open Sans" w:hAnsi="Open Sans" w:cs="Open Sans"/>
          <w:szCs w:val="22"/>
          <w:lang w:val="en-CA"/>
        </w:rPr>
        <w:t>BOG -</w:t>
      </w:r>
      <w:r>
        <w:rPr>
          <w:rFonts w:ascii="Open Sans" w:hAnsi="Open Sans" w:cs="Open Sans"/>
          <w:szCs w:val="22"/>
          <w:lang w:val="en-CA"/>
        </w:rPr>
        <w:t xml:space="preserve"> </w:t>
      </w:r>
      <w:r w:rsidRPr="00037EF8">
        <w:rPr>
          <w:rFonts w:ascii="Open Sans" w:hAnsi="Open Sans" w:cs="Open Sans"/>
          <w:szCs w:val="22"/>
          <w:lang w:val="en-CA"/>
        </w:rPr>
        <w:t>12 Honorary Credentials because this has moved under Senate</w:t>
      </w:r>
    </w:p>
    <w:p w14:paraId="2B86F433" w14:textId="77777777" w:rsidR="00BA7D8E" w:rsidRPr="00037EF8" w:rsidRDefault="00BA7D8E" w:rsidP="00BA7D8E">
      <w:pPr>
        <w:numPr>
          <w:ilvl w:val="0"/>
          <w:numId w:val="15"/>
        </w:numPr>
        <w:spacing w:after="200" w:line="276" w:lineRule="auto"/>
        <w:rPr>
          <w:rFonts w:ascii="Open Sans" w:hAnsi="Open Sans" w:cs="Open Sans"/>
          <w:szCs w:val="22"/>
          <w:lang w:val="en-CA"/>
        </w:rPr>
      </w:pPr>
      <w:r w:rsidRPr="00037EF8">
        <w:rPr>
          <w:rFonts w:ascii="Open Sans" w:hAnsi="Open Sans" w:cs="Open Sans"/>
          <w:szCs w:val="22"/>
          <w:lang w:val="en-CA"/>
        </w:rPr>
        <w:t>BOG</w:t>
      </w:r>
      <w:r>
        <w:rPr>
          <w:rFonts w:ascii="Open Sans" w:hAnsi="Open Sans" w:cs="Open Sans"/>
          <w:szCs w:val="22"/>
          <w:lang w:val="en-CA"/>
        </w:rPr>
        <w:t xml:space="preserve"> </w:t>
      </w:r>
      <w:r w:rsidRPr="00037EF8">
        <w:rPr>
          <w:rFonts w:ascii="Open Sans" w:hAnsi="Open Sans" w:cs="Open Sans"/>
          <w:szCs w:val="22"/>
          <w:lang w:val="en-CA"/>
        </w:rPr>
        <w:t>-</w:t>
      </w:r>
      <w:r>
        <w:rPr>
          <w:rFonts w:ascii="Open Sans" w:hAnsi="Open Sans" w:cs="Open Sans"/>
          <w:szCs w:val="22"/>
          <w:lang w:val="en-CA"/>
        </w:rPr>
        <w:t xml:space="preserve"> </w:t>
      </w:r>
      <w:r w:rsidRPr="00037EF8">
        <w:rPr>
          <w:rFonts w:ascii="Open Sans" w:hAnsi="Open Sans" w:cs="Open Sans"/>
          <w:szCs w:val="22"/>
          <w:lang w:val="en-CA"/>
        </w:rPr>
        <w:t>13 as we no longer have that committee</w:t>
      </w:r>
    </w:p>
    <w:p w14:paraId="5129E2E8" w14:textId="77777777" w:rsidR="00037EF8" w:rsidRPr="00037EF8" w:rsidRDefault="00037EF8" w:rsidP="00037EF8">
      <w:pPr>
        <w:spacing w:after="200" w:line="276" w:lineRule="auto"/>
        <w:rPr>
          <w:rFonts w:ascii="Open Sans" w:hAnsi="Open Sans" w:cs="Open Sans"/>
          <w:szCs w:val="22"/>
          <w:lang w:val="en-CA"/>
        </w:rPr>
      </w:pPr>
    </w:p>
    <w:p w14:paraId="25F5602B" w14:textId="77777777" w:rsidR="00037EF8" w:rsidRPr="00944CF1" w:rsidRDefault="00037EF8" w:rsidP="00944CF1">
      <w:pPr>
        <w:spacing w:after="200" w:line="276" w:lineRule="auto"/>
        <w:rPr>
          <w:rFonts w:ascii="Open Sans" w:hAnsi="Open Sans" w:cs="Open Sans"/>
          <w:szCs w:val="22"/>
          <w:lang w:val="en-CA"/>
        </w:rPr>
      </w:pPr>
    </w:p>
    <w:sectPr w:rsidR="00037EF8" w:rsidRPr="00944CF1" w:rsidSect="006C1768">
      <w:headerReference w:type="default" r:id="rId15"/>
      <w:pgSz w:w="15840" w:h="12240" w:orient="landscape" w:code="1"/>
      <w:pgMar w:top="1440" w:right="2074"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9EE3" w14:textId="77777777" w:rsidR="003B1E3B" w:rsidRDefault="003B1E3B" w:rsidP="006A744E">
      <w:r>
        <w:separator/>
      </w:r>
    </w:p>
  </w:endnote>
  <w:endnote w:type="continuationSeparator" w:id="0">
    <w:p w14:paraId="3ABD32D9" w14:textId="77777777" w:rsidR="003B1E3B" w:rsidRDefault="003B1E3B" w:rsidP="006A744E">
      <w:r>
        <w:continuationSeparator/>
      </w:r>
    </w:p>
  </w:endnote>
  <w:endnote w:type="continuationNotice" w:id="1">
    <w:p w14:paraId="50BB83C7" w14:textId="77777777" w:rsidR="003B1E3B" w:rsidRDefault="003B1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416D" w14:textId="0228AA42" w:rsidR="009A6C61" w:rsidRPr="009A5AC1" w:rsidRDefault="009A6C61"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2DDEA9F9" w14:textId="76DB29A6" w:rsidR="009A6C61" w:rsidRPr="009A5AC1" w:rsidRDefault="00F84430" w:rsidP="009A6C61">
    <w:pPr>
      <w:pStyle w:val="EndnoteText"/>
      <w:rPr>
        <w:rFonts w:ascii="Open Sans" w:hAnsi="Open Sans" w:cs="Open Sans"/>
        <w:sz w:val="18"/>
        <w:szCs w:val="18"/>
      </w:rPr>
    </w:pPr>
    <w:r w:rsidRPr="009A5AC1">
      <w:rPr>
        <w:rFonts w:ascii="Open Sans" w:hAnsi="Open Sans" w:cs="Open Sans"/>
        <w:sz w:val="18"/>
        <w:szCs w:val="18"/>
      </w:rPr>
      <w:t>Version</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9E7625">
      <w:rPr>
        <w:rFonts w:ascii="Open Sans" w:hAnsi="Open Sans" w:cs="Open Sans"/>
        <w:sz w:val="18"/>
        <w:szCs w:val="18"/>
      </w:rPr>
      <w:t>March 2021</w:t>
    </w:r>
    <w:r w:rsidR="008851BB">
      <w:rPr>
        <w:rFonts w:ascii="Open Sans" w:hAnsi="Open Sans" w:cs="Open Sans"/>
        <w:sz w:val="18"/>
        <w:szCs w:val="18"/>
      </w:rPr>
      <w:tab/>
    </w:r>
    <w:r w:rsidR="008851BB">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r w:rsidR="009A6C61" w:rsidRPr="009A5AC1">
      <w:rPr>
        <w:rFonts w:ascii="Open Sans" w:hAnsi="Open Sans" w:cs="Open Sans"/>
        <w:sz w:val="18"/>
        <w:szCs w:val="18"/>
      </w:rPr>
      <w:tab/>
    </w:r>
    <w:r w:rsidR="009E7625">
      <w:rPr>
        <w:rFonts w:ascii="Open Sans" w:hAnsi="Open Sans" w:cs="Open Sans"/>
        <w:sz w:val="18"/>
        <w:szCs w:val="18"/>
      </w:rPr>
      <w:t>June 2020</w:t>
    </w:r>
  </w:p>
  <w:p w14:paraId="522B71D9" w14:textId="3A156BF3"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Original Date:  </w:t>
    </w:r>
    <w:r w:rsidRPr="009A5AC1">
      <w:rPr>
        <w:rFonts w:ascii="Open Sans" w:hAnsi="Open Sans" w:cs="Open Sans"/>
        <w:sz w:val="18"/>
        <w:szCs w:val="18"/>
      </w:rPr>
      <w:tab/>
    </w:r>
    <w:r w:rsidR="001668CD">
      <w:rPr>
        <w:rFonts w:ascii="Open Sans" w:hAnsi="Open Sans" w:cs="Open Sans"/>
        <w:sz w:val="18"/>
        <w:szCs w:val="18"/>
      </w:rPr>
      <w:tab/>
    </w:r>
    <w:r w:rsidR="006B586F">
      <w:rPr>
        <w:rFonts w:ascii="Open Sans" w:hAnsi="Open Sans" w:cs="Open Sans"/>
        <w:sz w:val="18"/>
        <w:szCs w:val="18"/>
      </w:rPr>
      <w:t>December 2012</w:t>
    </w:r>
    <w:r w:rsidR="006B586F">
      <w:rPr>
        <w:rFonts w:ascii="Open Sans" w:hAnsi="Open Sans" w:cs="Open Sans"/>
        <w:sz w:val="18"/>
        <w:szCs w:val="18"/>
      </w:rPr>
      <w:tab/>
    </w:r>
    <w:r w:rsidR="006B586F">
      <w:rPr>
        <w:rFonts w:ascii="Open Sans" w:hAnsi="Open Sans" w:cs="Open Sans"/>
        <w:sz w:val="18"/>
        <w:szCs w:val="18"/>
      </w:rPr>
      <w:tab/>
    </w:r>
    <w:r w:rsidRPr="009A5AC1">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p>
  <w:p w14:paraId="67BB7B1B" w14:textId="0314922B"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Next Review:  </w:t>
    </w:r>
    <w:r w:rsidRPr="009A5AC1">
      <w:rPr>
        <w:rFonts w:ascii="Open Sans" w:hAnsi="Open Sans" w:cs="Open Sans"/>
        <w:sz w:val="18"/>
        <w:szCs w:val="18"/>
      </w:rPr>
      <w:tab/>
    </w:r>
    <w:r w:rsidR="001668CD">
      <w:rPr>
        <w:rFonts w:ascii="Open Sans" w:hAnsi="Open Sans" w:cs="Open Sans"/>
        <w:sz w:val="18"/>
        <w:szCs w:val="18"/>
      </w:rPr>
      <w:tab/>
    </w:r>
    <w:r w:rsidR="00575341">
      <w:rPr>
        <w:rFonts w:ascii="Open Sans" w:hAnsi="Open Sans" w:cs="Open Sans"/>
        <w:sz w:val="18"/>
        <w:szCs w:val="18"/>
      </w:rPr>
      <w:t>June 2023</w:t>
    </w:r>
    <w:r w:rsidR="005B75DA">
      <w:rPr>
        <w:rFonts w:ascii="Open Sans" w:hAnsi="Open Sans" w:cs="Open Sans"/>
        <w:sz w:val="18"/>
        <w:szCs w:val="18"/>
      </w:rPr>
      <w:tab/>
    </w:r>
    <w:r w:rsidR="005B75DA">
      <w:rPr>
        <w:rFonts w:ascii="Open Sans" w:hAnsi="Open Sans" w:cs="Open Sans"/>
        <w:sz w:val="18"/>
        <w:szCs w:val="18"/>
      </w:rPr>
      <w:tab/>
    </w:r>
    <w:r w:rsidR="005B75DA">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p>
  <w:p w14:paraId="1E6E9C84" w14:textId="7C617392" w:rsidR="009A6C61" w:rsidRPr="009A5AC1" w:rsidRDefault="002F1312" w:rsidP="009A6C61">
    <w:pPr>
      <w:jc w:val="both"/>
      <w:rPr>
        <w:rFonts w:ascii="Open Sans" w:hAnsi="Open Sans" w:cs="Open Sans"/>
        <w:sz w:val="18"/>
        <w:szCs w:val="18"/>
      </w:rPr>
    </w:pPr>
    <w:r w:rsidRPr="009A5AC1">
      <w:rPr>
        <w:rFonts w:ascii="Open Sans" w:hAnsi="Open Sans" w:cs="Open Sans"/>
        <w:sz w:val="18"/>
        <w:szCs w:val="18"/>
      </w:rPr>
      <w:t>Policy holder</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8851BB">
      <w:rPr>
        <w:rFonts w:ascii="Open Sans" w:hAnsi="Open Sans" w:cs="Open Sans"/>
        <w:sz w:val="18"/>
        <w:szCs w:val="18"/>
      </w:rPr>
      <w:t>Board of Governors</w:t>
    </w:r>
    <w:r w:rsidRPr="009A5AC1">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p>
  <w:p w14:paraId="19CC8A04" w14:textId="2070A3AD" w:rsidR="006A744E" w:rsidRPr="009A5AC1" w:rsidRDefault="009A6C61" w:rsidP="005553B5">
    <w:pPr>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1668CD">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t>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05B8" w14:textId="77777777" w:rsidR="003B1E3B" w:rsidRDefault="003B1E3B" w:rsidP="006A744E">
      <w:r>
        <w:separator/>
      </w:r>
    </w:p>
  </w:footnote>
  <w:footnote w:type="continuationSeparator" w:id="0">
    <w:p w14:paraId="2E484A2A" w14:textId="77777777" w:rsidR="003B1E3B" w:rsidRDefault="003B1E3B" w:rsidP="006A744E">
      <w:r>
        <w:continuationSeparator/>
      </w:r>
    </w:p>
  </w:footnote>
  <w:footnote w:type="continuationNotice" w:id="1">
    <w:p w14:paraId="2F04B403" w14:textId="77777777" w:rsidR="003B1E3B" w:rsidRDefault="003B1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511" w14:textId="797D1A33" w:rsidR="00815ED4" w:rsidRPr="00CE1D74" w:rsidRDefault="00621D66" w:rsidP="001E0261">
    <w:pPr>
      <w:pStyle w:val="NoSpacing"/>
      <w:jc w:val="right"/>
      <w:rPr>
        <w:rFonts w:ascii="Open Sans" w:hAnsi="Open Sans" w:cs="Open Sans"/>
        <w:sz w:val="18"/>
      </w:rPr>
    </w:pPr>
    <w:r w:rsidRPr="002D1222">
      <w:rPr>
        <w:b/>
        <w:noProof/>
      </w:rPr>
      <w:drawing>
        <wp:anchor distT="0" distB="0" distL="114300" distR="114300" simplePos="0" relativeHeight="251658240" behindDoc="0" locked="0" layoutInCell="1" allowOverlap="1" wp14:anchorId="561A8383" wp14:editId="791B624D">
          <wp:simplePos x="0" y="0"/>
          <wp:positionH relativeFrom="margin">
            <wp:posOffset>0</wp:posOffset>
          </wp:positionH>
          <wp:positionV relativeFrom="margin">
            <wp:posOffset>-822960</wp:posOffset>
          </wp:positionV>
          <wp:extent cx="1280160" cy="548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1ADEA" w14:textId="65A09C90" w:rsidR="001E0261" w:rsidRPr="00CE1D74" w:rsidRDefault="001350D2" w:rsidP="001E0261">
    <w:pPr>
      <w:pStyle w:val="NoSpacing"/>
      <w:jc w:val="right"/>
      <w:rPr>
        <w:rFonts w:ascii="Open Sans" w:hAnsi="Open Sans" w:cs="Open Sans"/>
        <w:sz w:val="28"/>
      </w:rPr>
    </w:pPr>
    <w:r w:rsidRPr="00CE1D74">
      <w:rPr>
        <w:rFonts w:ascii="Open Sans" w:hAnsi="Open Sans" w:cs="Open Sans"/>
        <w:b/>
        <w:sz w:val="28"/>
      </w:rPr>
      <w:t xml:space="preserve"> </w:t>
    </w:r>
    <w:r w:rsidR="00B968D1">
      <w:rPr>
        <w:rFonts w:ascii="Open Sans" w:hAnsi="Open Sans" w:cs="Open Sans"/>
        <w:b/>
        <w:sz w:val="28"/>
      </w:rPr>
      <w:t>Board Governance</w:t>
    </w:r>
    <w:r w:rsidR="0003588B" w:rsidRPr="00CE1D74">
      <w:rPr>
        <w:rFonts w:ascii="Open Sans" w:hAnsi="Open Sans" w:cs="Open Sans"/>
        <w:b/>
        <w:sz w:val="28"/>
      </w:rPr>
      <w:t xml:space="preserve"> Policy </w:t>
    </w:r>
    <w:r w:rsidR="0003588B" w:rsidRPr="00CE1D74">
      <w:rPr>
        <w:rFonts w:ascii="Open Sans" w:hAnsi="Open Sans" w:cs="Open Sans"/>
        <w:sz w:val="28"/>
      </w:rPr>
      <w:t xml:space="preserve">– </w:t>
    </w:r>
    <w:r w:rsidR="00B968D1">
      <w:rPr>
        <w:rFonts w:ascii="Open Sans" w:hAnsi="Open Sans" w:cs="Open Sans"/>
        <w:sz w:val="28"/>
      </w:rPr>
      <w:t>BOG</w:t>
    </w:r>
    <w:r w:rsidR="0003588B" w:rsidRPr="00CE1D74">
      <w:rPr>
        <w:rFonts w:ascii="Open Sans" w:hAnsi="Open Sans" w:cs="Open Sans"/>
        <w:sz w:val="28"/>
      </w:rPr>
      <w:t xml:space="preserve"> </w:t>
    </w:r>
    <w:r w:rsidR="00B968D1">
      <w:rPr>
        <w:rFonts w:ascii="Open Sans" w:hAnsi="Open Sans" w:cs="Open Sans"/>
        <w:sz w:val="28"/>
      </w:rPr>
      <w:t>6</w:t>
    </w:r>
    <w:r w:rsidR="0003588B" w:rsidRPr="00CE1D74">
      <w:rPr>
        <w:rFonts w:ascii="Open Sans" w:hAnsi="Open Sans" w:cs="Open Sans"/>
        <w:sz w:val="28"/>
      </w:rPr>
      <w:t>.</w:t>
    </w:r>
    <w:r w:rsidR="00B968D1">
      <w:rPr>
        <w:rFonts w:ascii="Open Sans" w:hAnsi="Open Sans" w:cs="Open Sans"/>
        <w:sz w:val="28"/>
      </w:rPr>
      <w:t>0</w:t>
    </w:r>
  </w:p>
  <w:p w14:paraId="5619F11A" w14:textId="221EE9D1" w:rsidR="001E0261" w:rsidRPr="00CE1D74" w:rsidRDefault="00B968D1" w:rsidP="001E0261">
    <w:pPr>
      <w:pStyle w:val="NoSpacing"/>
      <w:jc w:val="right"/>
      <w:rPr>
        <w:rFonts w:ascii="Open Sans" w:hAnsi="Open Sans" w:cs="Open Sans"/>
        <w:sz w:val="28"/>
      </w:rPr>
    </w:pPr>
    <w:r>
      <w:rPr>
        <w:rFonts w:ascii="Open Sans" w:hAnsi="Open Sans" w:cs="Open Sans"/>
        <w:sz w:val="28"/>
      </w:rPr>
      <w:t>Board of Governors</w:t>
    </w:r>
  </w:p>
  <w:p w14:paraId="4001BB42" w14:textId="2BA03E64" w:rsidR="0081030E" w:rsidRPr="00CE1D74" w:rsidRDefault="001E0261">
    <w:pPr>
      <w:pStyle w:val="Header"/>
      <w:rPr>
        <w:rFonts w:ascii="Open Sans" w:hAnsi="Open Sans" w:cs="Open Sans"/>
      </w:rPr>
    </w:pPr>
    <w:r w:rsidRPr="00CE1D74">
      <w:rPr>
        <w:rFonts w:ascii="Open Sans" w:hAnsi="Open Sans" w:cs="Open Sans"/>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88C9" w14:textId="77777777" w:rsidR="007A73E6" w:rsidRPr="00CE1D74" w:rsidRDefault="007A73E6" w:rsidP="001E0261">
    <w:pPr>
      <w:pStyle w:val="NoSpacing"/>
      <w:jc w:val="right"/>
      <w:rPr>
        <w:rFonts w:ascii="Open Sans" w:hAnsi="Open Sans" w:cs="Open Sans"/>
        <w:sz w:val="18"/>
      </w:rPr>
    </w:pPr>
    <w:r w:rsidRPr="002D1222">
      <w:rPr>
        <w:b/>
        <w:noProof/>
      </w:rPr>
      <w:drawing>
        <wp:anchor distT="0" distB="0" distL="114300" distR="114300" simplePos="0" relativeHeight="251658241" behindDoc="0" locked="0" layoutInCell="1" allowOverlap="1" wp14:anchorId="1C9E951F" wp14:editId="0ACB7FE3">
          <wp:simplePos x="0" y="0"/>
          <wp:positionH relativeFrom="margin">
            <wp:posOffset>0</wp:posOffset>
          </wp:positionH>
          <wp:positionV relativeFrom="margin">
            <wp:posOffset>-822960</wp:posOffset>
          </wp:positionV>
          <wp:extent cx="128016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F86D7C" w14:textId="77777777" w:rsidR="007A73E6" w:rsidRPr="00CE1D74" w:rsidRDefault="007A73E6" w:rsidP="007A73E6">
    <w:pPr>
      <w:pStyle w:val="NoSpacing"/>
      <w:ind w:right="-814"/>
      <w:jc w:val="right"/>
      <w:rPr>
        <w:rFonts w:ascii="Open Sans" w:hAnsi="Open Sans" w:cs="Open Sans"/>
        <w:sz w:val="28"/>
      </w:rPr>
    </w:pPr>
    <w:r w:rsidRPr="00CE1D74">
      <w:rPr>
        <w:rFonts w:ascii="Open Sans" w:hAnsi="Open Sans" w:cs="Open Sans"/>
        <w:b/>
        <w:sz w:val="28"/>
      </w:rPr>
      <w:t xml:space="preserve"> </w:t>
    </w:r>
    <w:r>
      <w:rPr>
        <w:rFonts w:ascii="Open Sans" w:hAnsi="Open Sans" w:cs="Open Sans"/>
        <w:b/>
        <w:sz w:val="28"/>
      </w:rPr>
      <w:t>Board Governance</w:t>
    </w:r>
    <w:r w:rsidRPr="00CE1D74">
      <w:rPr>
        <w:rFonts w:ascii="Open Sans" w:hAnsi="Open Sans" w:cs="Open Sans"/>
        <w:b/>
        <w:sz w:val="28"/>
      </w:rPr>
      <w:t xml:space="preserve"> Policy </w:t>
    </w:r>
    <w:r w:rsidRPr="00CE1D74">
      <w:rPr>
        <w:rFonts w:ascii="Open Sans" w:hAnsi="Open Sans" w:cs="Open Sans"/>
        <w:sz w:val="28"/>
      </w:rPr>
      <w:t xml:space="preserve">– </w:t>
    </w:r>
    <w:r>
      <w:rPr>
        <w:rFonts w:ascii="Open Sans" w:hAnsi="Open Sans" w:cs="Open Sans"/>
        <w:sz w:val="28"/>
      </w:rPr>
      <w:t>BOG</w:t>
    </w:r>
    <w:r w:rsidRPr="00CE1D74">
      <w:rPr>
        <w:rFonts w:ascii="Open Sans" w:hAnsi="Open Sans" w:cs="Open Sans"/>
        <w:sz w:val="28"/>
      </w:rPr>
      <w:t xml:space="preserve"> </w:t>
    </w:r>
    <w:r>
      <w:rPr>
        <w:rFonts w:ascii="Open Sans" w:hAnsi="Open Sans" w:cs="Open Sans"/>
        <w:sz w:val="28"/>
      </w:rPr>
      <w:t>6</w:t>
    </w:r>
    <w:r w:rsidRPr="00CE1D74">
      <w:rPr>
        <w:rFonts w:ascii="Open Sans" w:hAnsi="Open Sans" w:cs="Open Sans"/>
        <w:sz w:val="28"/>
      </w:rPr>
      <w:t>.</w:t>
    </w:r>
    <w:r>
      <w:rPr>
        <w:rFonts w:ascii="Open Sans" w:hAnsi="Open Sans" w:cs="Open Sans"/>
        <w:sz w:val="28"/>
      </w:rPr>
      <w:t>0</w:t>
    </w:r>
  </w:p>
  <w:p w14:paraId="518D03C4" w14:textId="77777777" w:rsidR="007A73E6" w:rsidRPr="00CE1D74" w:rsidRDefault="007A73E6" w:rsidP="007A73E6">
    <w:pPr>
      <w:pStyle w:val="NoSpacing"/>
      <w:ind w:right="-814"/>
      <w:jc w:val="right"/>
      <w:rPr>
        <w:rFonts w:ascii="Open Sans" w:hAnsi="Open Sans" w:cs="Open Sans"/>
        <w:sz w:val="28"/>
      </w:rPr>
    </w:pPr>
    <w:r>
      <w:rPr>
        <w:rFonts w:ascii="Open Sans" w:hAnsi="Open Sans" w:cs="Open Sans"/>
        <w:sz w:val="28"/>
      </w:rPr>
      <w:t>Board of Governors</w:t>
    </w:r>
  </w:p>
  <w:p w14:paraId="29D64840" w14:textId="77777777" w:rsidR="007A73E6" w:rsidRPr="00CE1D74" w:rsidRDefault="007A73E6">
    <w:pPr>
      <w:pStyle w:val="Header"/>
      <w:rPr>
        <w:rFonts w:ascii="Open Sans" w:hAnsi="Open Sans" w:cs="Open Sans"/>
      </w:rPr>
    </w:pPr>
    <w:r w:rsidRPr="00CE1D74">
      <w:rPr>
        <w:rFonts w:ascii="Open Sans" w:hAnsi="Open Sans" w:cs="Open San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C2E"/>
    <w:multiLevelType w:val="hybridMultilevel"/>
    <w:tmpl w:val="833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2D8A"/>
    <w:multiLevelType w:val="hybridMultilevel"/>
    <w:tmpl w:val="9C7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3893"/>
    <w:multiLevelType w:val="hybridMultilevel"/>
    <w:tmpl w:val="8B4C5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1C402E"/>
    <w:multiLevelType w:val="hybridMultilevel"/>
    <w:tmpl w:val="90601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B59A2"/>
    <w:multiLevelType w:val="hybridMultilevel"/>
    <w:tmpl w:val="C57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0900"/>
    <w:multiLevelType w:val="hybridMultilevel"/>
    <w:tmpl w:val="031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95FF1"/>
    <w:multiLevelType w:val="hybridMultilevel"/>
    <w:tmpl w:val="D16C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B40795"/>
    <w:multiLevelType w:val="multilevel"/>
    <w:tmpl w:val="FCF6139E"/>
    <w:lvl w:ilvl="0">
      <w:start w:val="1"/>
      <w:numFmt w:val="bullet"/>
      <w:lvlText w:val=""/>
      <w:lvlJc w:val="left"/>
      <w:pPr>
        <w:ind w:left="720" w:hanging="360"/>
      </w:pPr>
      <w:rPr>
        <w:rFonts w:ascii="Symbol" w:hAnsi="Symbol" w:hint="default"/>
      </w:rPr>
    </w:lvl>
    <w:lvl w:ilvl="1">
      <w:start w:val="1"/>
      <w:numFmt w:val="none"/>
      <w:lvlText w:val="1.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5"/>
  </w:num>
  <w:num w:numId="4">
    <w:abstractNumId w:val="8"/>
  </w:num>
  <w:num w:numId="5">
    <w:abstractNumId w:val="6"/>
  </w:num>
  <w:num w:numId="6">
    <w:abstractNumId w:val="7"/>
  </w:num>
  <w:num w:numId="7">
    <w:abstractNumId w:val="14"/>
  </w:num>
  <w:num w:numId="8">
    <w:abstractNumId w:val="2"/>
  </w:num>
  <w:num w:numId="9">
    <w:abstractNumId w:val="11"/>
  </w:num>
  <w:num w:numId="10">
    <w:abstractNumId w:val="10"/>
  </w:num>
  <w:num w:numId="11">
    <w:abstractNumId w:val="3"/>
  </w:num>
  <w:num w:numId="12">
    <w:abstractNumId w:val="4"/>
  </w:num>
  <w:num w:numId="13">
    <w:abstractNumId w:val="5"/>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940"/>
    <w:rsid w:val="00003054"/>
    <w:rsid w:val="000031A3"/>
    <w:rsid w:val="00006F33"/>
    <w:rsid w:val="0002160C"/>
    <w:rsid w:val="00026C8A"/>
    <w:rsid w:val="0002749A"/>
    <w:rsid w:val="0003588B"/>
    <w:rsid w:val="00036171"/>
    <w:rsid w:val="00037EF8"/>
    <w:rsid w:val="00041D4F"/>
    <w:rsid w:val="000578A7"/>
    <w:rsid w:val="00060EA5"/>
    <w:rsid w:val="00065EC5"/>
    <w:rsid w:val="0007430A"/>
    <w:rsid w:val="00076A9A"/>
    <w:rsid w:val="00077CA5"/>
    <w:rsid w:val="00077E06"/>
    <w:rsid w:val="000863F1"/>
    <w:rsid w:val="000915B8"/>
    <w:rsid w:val="000A1169"/>
    <w:rsid w:val="000E7FA9"/>
    <w:rsid w:val="000F3AC9"/>
    <w:rsid w:val="000F51C6"/>
    <w:rsid w:val="000F75E4"/>
    <w:rsid w:val="001022FC"/>
    <w:rsid w:val="00105446"/>
    <w:rsid w:val="00127AE7"/>
    <w:rsid w:val="001308EC"/>
    <w:rsid w:val="001350D2"/>
    <w:rsid w:val="00135655"/>
    <w:rsid w:val="0013586C"/>
    <w:rsid w:val="00137798"/>
    <w:rsid w:val="00157189"/>
    <w:rsid w:val="00161B7F"/>
    <w:rsid w:val="00164629"/>
    <w:rsid w:val="00165A9B"/>
    <w:rsid w:val="001668CD"/>
    <w:rsid w:val="00167152"/>
    <w:rsid w:val="00167B23"/>
    <w:rsid w:val="001716A1"/>
    <w:rsid w:val="00171A46"/>
    <w:rsid w:val="00174B32"/>
    <w:rsid w:val="0017525A"/>
    <w:rsid w:val="00175C36"/>
    <w:rsid w:val="00177440"/>
    <w:rsid w:val="00194247"/>
    <w:rsid w:val="00195DD7"/>
    <w:rsid w:val="001968CD"/>
    <w:rsid w:val="001A7C9E"/>
    <w:rsid w:val="001B0453"/>
    <w:rsid w:val="001D356F"/>
    <w:rsid w:val="001D5130"/>
    <w:rsid w:val="001D53E1"/>
    <w:rsid w:val="001D5D65"/>
    <w:rsid w:val="001D773D"/>
    <w:rsid w:val="001E0261"/>
    <w:rsid w:val="001E0294"/>
    <w:rsid w:val="001F128F"/>
    <w:rsid w:val="001F12CC"/>
    <w:rsid w:val="001F2182"/>
    <w:rsid w:val="002068EA"/>
    <w:rsid w:val="00211D6E"/>
    <w:rsid w:val="00226550"/>
    <w:rsid w:val="00226A1E"/>
    <w:rsid w:val="002362CC"/>
    <w:rsid w:val="0024132D"/>
    <w:rsid w:val="00243D80"/>
    <w:rsid w:val="002458E6"/>
    <w:rsid w:val="00260C36"/>
    <w:rsid w:val="00286748"/>
    <w:rsid w:val="00295750"/>
    <w:rsid w:val="002B09A6"/>
    <w:rsid w:val="002B0CDF"/>
    <w:rsid w:val="002B71AE"/>
    <w:rsid w:val="002C0D14"/>
    <w:rsid w:val="002D1222"/>
    <w:rsid w:val="002D3698"/>
    <w:rsid w:val="002D790B"/>
    <w:rsid w:val="002E0AB2"/>
    <w:rsid w:val="002E2461"/>
    <w:rsid w:val="002E54AB"/>
    <w:rsid w:val="002E73DE"/>
    <w:rsid w:val="002F1312"/>
    <w:rsid w:val="002F4329"/>
    <w:rsid w:val="002F7362"/>
    <w:rsid w:val="003004CB"/>
    <w:rsid w:val="003147AF"/>
    <w:rsid w:val="00317B10"/>
    <w:rsid w:val="00317F24"/>
    <w:rsid w:val="00323C1D"/>
    <w:rsid w:val="003400DC"/>
    <w:rsid w:val="0034137F"/>
    <w:rsid w:val="003449A9"/>
    <w:rsid w:val="0034644E"/>
    <w:rsid w:val="003546B3"/>
    <w:rsid w:val="00354985"/>
    <w:rsid w:val="00363770"/>
    <w:rsid w:val="003717DC"/>
    <w:rsid w:val="00375B23"/>
    <w:rsid w:val="00380811"/>
    <w:rsid w:val="003829AB"/>
    <w:rsid w:val="00385C26"/>
    <w:rsid w:val="0039285E"/>
    <w:rsid w:val="003966D7"/>
    <w:rsid w:val="003A4CBA"/>
    <w:rsid w:val="003B1E3B"/>
    <w:rsid w:val="003C133F"/>
    <w:rsid w:val="003C407B"/>
    <w:rsid w:val="003D070D"/>
    <w:rsid w:val="003E1633"/>
    <w:rsid w:val="0040173B"/>
    <w:rsid w:val="0041469B"/>
    <w:rsid w:val="00423D3C"/>
    <w:rsid w:val="004328BE"/>
    <w:rsid w:val="00435086"/>
    <w:rsid w:val="00437541"/>
    <w:rsid w:val="004438DF"/>
    <w:rsid w:val="00447B92"/>
    <w:rsid w:val="00450DA3"/>
    <w:rsid w:val="00457404"/>
    <w:rsid w:val="00461DA4"/>
    <w:rsid w:val="00467500"/>
    <w:rsid w:val="004718F5"/>
    <w:rsid w:val="00472808"/>
    <w:rsid w:val="00480688"/>
    <w:rsid w:val="004869C4"/>
    <w:rsid w:val="00497A9E"/>
    <w:rsid w:val="004A1E83"/>
    <w:rsid w:val="004A32F8"/>
    <w:rsid w:val="004A4FF3"/>
    <w:rsid w:val="004A5961"/>
    <w:rsid w:val="004B53A4"/>
    <w:rsid w:val="004B6033"/>
    <w:rsid w:val="004C14A8"/>
    <w:rsid w:val="004C3267"/>
    <w:rsid w:val="004D3509"/>
    <w:rsid w:val="004E7180"/>
    <w:rsid w:val="004F099B"/>
    <w:rsid w:val="00501B5D"/>
    <w:rsid w:val="005119A9"/>
    <w:rsid w:val="00512638"/>
    <w:rsid w:val="005127CA"/>
    <w:rsid w:val="0051351C"/>
    <w:rsid w:val="0052301E"/>
    <w:rsid w:val="00523416"/>
    <w:rsid w:val="00542E54"/>
    <w:rsid w:val="005502B5"/>
    <w:rsid w:val="005553B5"/>
    <w:rsid w:val="00561614"/>
    <w:rsid w:val="00562326"/>
    <w:rsid w:val="00562CA1"/>
    <w:rsid w:val="005659AB"/>
    <w:rsid w:val="00570F2C"/>
    <w:rsid w:val="00573312"/>
    <w:rsid w:val="00575341"/>
    <w:rsid w:val="00583BE3"/>
    <w:rsid w:val="00585754"/>
    <w:rsid w:val="00586D09"/>
    <w:rsid w:val="005931EC"/>
    <w:rsid w:val="005A2A03"/>
    <w:rsid w:val="005B5B09"/>
    <w:rsid w:val="005B75DA"/>
    <w:rsid w:val="005C0EC1"/>
    <w:rsid w:val="005C2E20"/>
    <w:rsid w:val="005D4727"/>
    <w:rsid w:val="005D5BF7"/>
    <w:rsid w:val="005E24E3"/>
    <w:rsid w:val="005E3D1D"/>
    <w:rsid w:val="005E4785"/>
    <w:rsid w:val="005F3B0C"/>
    <w:rsid w:val="0060002E"/>
    <w:rsid w:val="00602F60"/>
    <w:rsid w:val="00612C31"/>
    <w:rsid w:val="00614F83"/>
    <w:rsid w:val="00615B14"/>
    <w:rsid w:val="00620CCA"/>
    <w:rsid w:val="00621D66"/>
    <w:rsid w:val="006261BB"/>
    <w:rsid w:val="00640890"/>
    <w:rsid w:val="00655227"/>
    <w:rsid w:val="00661461"/>
    <w:rsid w:val="00663F40"/>
    <w:rsid w:val="00666995"/>
    <w:rsid w:val="006753F3"/>
    <w:rsid w:val="006771D9"/>
    <w:rsid w:val="006838BA"/>
    <w:rsid w:val="006A1395"/>
    <w:rsid w:val="006A744E"/>
    <w:rsid w:val="006B4D15"/>
    <w:rsid w:val="006B586F"/>
    <w:rsid w:val="006C1768"/>
    <w:rsid w:val="006C5E6A"/>
    <w:rsid w:val="006F3621"/>
    <w:rsid w:val="007001E7"/>
    <w:rsid w:val="0071298F"/>
    <w:rsid w:val="00715D39"/>
    <w:rsid w:val="00730355"/>
    <w:rsid w:val="007319D6"/>
    <w:rsid w:val="00740FA1"/>
    <w:rsid w:val="00750446"/>
    <w:rsid w:val="007523BF"/>
    <w:rsid w:val="0076634B"/>
    <w:rsid w:val="0077189C"/>
    <w:rsid w:val="00780B5C"/>
    <w:rsid w:val="007900C0"/>
    <w:rsid w:val="00790E9E"/>
    <w:rsid w:val="007A6BCB"/>
    <w:rsid w:val="007A73E6"/>
    <w:rsid w:val="007B16BA"/>
    <w:rsid w:val="007B65C8"/>
    <w:rsid w:val="007C4674"/>
    <w:rsid w:val="007C500B"/>
    <w:rsid w:val="007C6CA0"/>
    <w:rsid w:val="007D6D95"/>
    <w:rsid w:val="007E0695"/>
    <w:rsid w:val="007E0717"/>
    <w:rsid w:val="007F3AB8"/>
    <w:rsid w:val="007F4B53"/>
    <w:rsid w:val="00801368"/>
    <w:rsid w:val="008071C8"/>
    <w:rsid w:val="0081030E"/>
    <w:rsid w:val="00815ED4"/>
    <w:rsid w:val="008169C6"/>
    <w:rsid w:val="00825E51"/>
    <w:rsid w:val="008269F3"/>
    <w:rsid w:val="00841E5A"/>
    <w:rsid w:val="0084592B"/>
    <w:rsid w:val="00850267"/>
    <w:rsid w:val="00855688"/>
    <w:rsid w:val="00866701"/>
    <w:rsid w:val="008679E8"/>
    <w:rsid w:val="00871BD0"/>
    <w:rsid w:val="00873FDE"/>
    <w:rsid w:val="00881D2C"/>
    <w:rsid w:val="008851BB"/>
    <w:rsid w:val="00890E15"/>
    <w:rsid w:val="008945C9"/>
    <w:rsid w:val="008B4924"/>
    <w:rsid w:val="008C19BE"/>
    <w:rsid w:val="008C5CA8"/>
    <w:rsid w:val="008D0751"/>
    <w:rsid w:val="008D66C9"/>
    <w:rsid w:val="008E1005"/>
    <w:rsid w:val="008E26A1"/>
    <w:rsid w:val="0090054E"/>
    <w:rsid w:val="009011A4"/>
    <w:rsid w:val="0091064B"/>
    <w:rsid w:val="00910C14"/>
    <w:rsid w:val="009233D2"/>
    <w:rsid w:val="00927341"/>
    <w:rsid w:val="00935C3F"/>
    <w:rsid w:val="00940024"/>
    <w:rsid w:val="00940CDA"/>
    <w:rsid w:val="00941CA5"/>
    <w:rsid w:val="00942E29"/>
    <w:rsid w:val="00944CF1"/>
    <w:rsid w:val="00946216"/>
    <w:rsid w:val="00953221"/>
    <w:rsid w:val="00957D4B"/>
    <w:rsid w:val="00975527"/>
    <w:rsid w:val="009A44E8"/>
    <w:rsid w:val="009A5AC1"/>
    <w:rsid w:val="009A6C61"/>
    <w:rsid w:val="009C47B8"/>
    <w:rsid w:val="009D1F72"/>
    <w:rsid w:val="009D33D7"/>
    <w:rsid w:val="009D546D"/>
    <w:rsid w:val="009E20CF"/>
    <w:rsid w:val="009E7625"/>
    <w:rsid w:val="009F5B54"/>
    <w:rsid w:val="00A07341"/>
    <w:rsid w:val="00A163EF"/>
    <w:rsid w:val="00A23F68"/>
    <w:rsid w:val="00A31161"/>
    <w:rsid w:val="00A33A83"/>
    <w:rsid w:val="00A34AFA"/>
    <w:rsid w:val="00A34DBE"/>
    <w:rsid w:val="00A43C4D"/>
    <w:rsid w:val="00A445BF"/>
    <w:rsid w:val="00A46D40"/>
    <w:rsid w:val="00A47720"/>
    <w:rsid w:val="00A52532"/>
    <w:rsid w:val="00A52E42"/>
    <w:rsid w:val="00A5396A"/>
    <w:rsid w:val="00A61208"/>
    <w:rsid w:val="00A6394B"/>
    <w:rsid w:val="00A65F8F"/>
    <w:rsid w:val="00A83C10"/>
    <w:rsid w:val="00A878E7"/>
    <w:rsid w:val="00A9320D"/>
    <w:rsid w:val="00A9330D"/>
    <w:rsid w:val="00A9662D"/>
    <w:rsid w:val="00AA51CD"/>
    <w:rsid w:val="00AA7BFD"/>
    <w:rsid w:val="00AB1C34"/>
    <w:rsid w:val="00AB1DFD"/>
    <w:rsid w:val="00AB45A5"/>
    <w:rsid w:val="00AC2E94"/>
    <w:rsid w:val="00AC4EE8"/>
    <w:rsid w:val="00AD1D2E"/>
    <w:rsid w:val="00AD2A3B"/>
    <w:rsid w:val="00AD3F82"/>
    <w:rsid w:val="00AE1356"/>
    <w:rsid w:val="00AE7219"/>
    <w:rsid w:val="00AF2FDD"/>
    <w:rsid w:val="00AF35A5"/>
    <w:rsid w:val="00B10B8F"/>
    <w:rsid w:val="00B1511B"/>
    <w:rsid w:val="00B35C56"/>
    <w:rsid w:val="00B40F95"/>
    <w:rsid w:val="00B576D3"/>
    <w:rsid w:val="00B705CA"/>
    <w:rsid w:val="00B80953"/>
    <w:rsid w:val="00B83A48"/>
    <w:rsid w:val="00B95005"/>
    <w:rsid w:val="00B959E5"/>
    <w:rsid w:val="00B968D1"/>
    <w:rsid w:val="00BA32F4"/>
    <w:rsid w:val="00BA7D8E"/>
    <w:rsid w:val="00BB7FEC"/>
    <w:rsid w:val="00BC3F6C"/>
    <w:rsid w:val="00BC605A"/>
    <w:rsid w:val="00BC6C86"/>
    <w:rsid w:val="00BE4C00"/>
    <w:rsid w:val="00BE76BB"/>
    <w:rsid w:val="00BF1C6B"/>
    <w:rsid w:val="00BF1FB3"/>
    <w:rsid w:val="00BF3B5C"/>
    <w:rsid w:val="00C0021E"/>
    <w:rsid w:val="00C01400"/>
    <w:rsid w:val="00C01D95"/>
    <w:rsid w:val="00C066FA"/>
    <w:rsid w:val="00C1252A"/>
    <w:rsid w:val="00C4384F"/>
    <w:rsid w:val="00C4568B"/>
    <w:rsid w:val="00C50065"/>
    <w:rsid w:val="00C520F7"/>
    <w:rsid w:val="00C61FB0"/>
    <w:rsid w:val="00C6654B"/>
    <w:rsid w:val="00C752ED"/>
    <w:rsid w:val="00C91316"/>
    <w:rsid w:val="00CA441C"/>
    <w:rsid w:val="00CA47CF"/>
    <w:rsid w:val="00CC2486"/>
    <w:rsid w:val="00CC256C"/>
    <w:rsid w:val="00CC2F69"/>
    <w:rsid w:val="00CC620B"/>
    <w:rsid w:val="00CD6D7C"/>
    <w:rsid w:val="00CE18BF"/>
    <w:rsid w:val="00CE1D74"/>
    <w:rsid w:val="00CE2BFB"/>
    <w:rsid w:val="00CF66E6"/>
    <w:rsid w:val="00CF75F2"/>
    <w:rsid w:val="00D01248"/>
    <w:rsid w:val="00D0387A"/>
    <w:rsid w:val="00D27D0B"/>
    <w:rsid w:val="00D33BAF"/>
    <w:rsid w:val="00D344C9"/>
    <w:rsid w:val="00D4054E"/>
    <w:rsid w:val="00D46740"/>
    <w:rsid w:val="00D602E3"/>
    <w:rsid w:val="00D7759E"/>
    <w:rsid w:val="00D777F9"/>
    <w:rsid w:val="00D81E3E"/>
    <w:rsid w:val="00D83987"/>
    <w:rsid w:val="00D950BA"/>
    <w:rsid w:val="00DA56BF"/>
    <w:rsid w:val="00DB24DD"/>
    <w:rsid w:val="00DB42AA"/>
    <w:rsid w:val="00DB4AC0"/>
    <w:rsid w:val="00DC64DE"/>
    <w:rsid w:val="00DD427F"/>
    <w:rsid w:val="00DD7014"/>
    <w:rsid w:val="00DE5A5F"/>
    <w:rsid w:val="00DE6638"/>
    <w:rsid w:val="00DE66A2"/>
    <w:rsid w:val="00DF28E6"/>
    <w:rsid w:val="00E1073C"/>
    <w:rsid w:val="00E1393F"/>
    <w:rsid w:val="00E21C2C"/>
    <w:rsid w:val="00E23F0B"/>
    <w:rsid w:val="00E430D6"/>
    <w:rsid w:val="00E52634"/>
    <w:rsid w:val="00E61C40"/>
    <w:rsid w:val="00E649AD"/>
    <w:rsid w:val="00E655C0"/>
    <w:rsid w:val="00E77654"/>
    <w:rsid w:val="00E81198"/>
    <w:rsid w:val="00E821DA"/>
    <w:rsid w:val="00E82233"/>
    <w:rsid w:val="00E83A93"/>
    <w:rsid w:val="00E8749D"/>
    <w:rsid w:val="00E96187"/>
    <w:rsid w:val="00EA46D8"/>
    <w:rsid w:val="00EA4CC4"/>
    <w:rsid w:val="00EA52F5"/>
    <w:rsid w:val="00EA54B3"/>
    <w:rsid w:val="00EB287D"/>
    <w:rsid w:val="00EB73B7"/>
    <w:rsid w:val="00EC70DC"/>
    <w:rsid w:val="00EF03C4"/>
    <w:rsid w:val="00EF0615"/>
    <w:rsid w:val="00F0313C"/>
    <w:rsid w:val="00F12660"/>
    <w:rsid w:val="00F175D7"/>
    <w:rsid w:val="00F304E4"/>
    <w:rsid w:val="00F31447"/>
    <w:rsid w:val="00F404A5"/>
    <w:rsid w:val="00F40755"/>
    <w:rsid w:val="00F413E3"/>
    <w:rsid w:val="00F44E35"/>
    <w:rsid w:val="00F47818"/>
    <w:rsid w:val="00F5284B"/>
    <w:rsid w:val="00F52940"/>
    <w:rsid w:val="00F558A4"/>
    <w:rsid w:val="00F56BEB"/>
    <w:rsid w:val="00F638EE"/>
    <w:rsid w:val="00F75665"/>
    <w:rsid w:val="00F8342E"/>
    <w:rsid w:val="00F84430"/>
    <w:rsid w:val="00F90BDA"/>
    <w:rsid w:val="00FA3B0D"/>
    <w:rsid w:val="00FA5E18"/>
    <w:rsid w:val="00FA6939"/>
    <w:rsid w:val="00FE00FF"/>
    <w:rsid w:val="00FE1A2A"/>
    <w:rsid w:val="00FE1E02"/>
    <w:rsid w:val="00FE1FD0"/>
    <w:rsid w:val="00FE5402"/>
    <w:rsid w:val="00FF27E2"/>
    <w:rsid w:val="00FF52B9"/>
    <w:rsid w:val="00FF6A55"/>
    <w:rsid w:val="42BA6D9A"/>
    <w:rsid w:val="50680E1C"/>
    <w:rsid w:val="65A92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897B"/>
  <w15:docId w15:val="{5A39D184-42DA-4FC2-9FB2-7EB5E693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04"/>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7da281-a605-4712-b8f4-62fe026b45ba">
      <UserInfo>
        <DisplayName>Lacia Kinnear</DisplayName>
        <AccountId>254</AccountId>
        <AccountType/>
      </UserInfo>
      <UserInfo>
        <DisplayName>Janine Blain</DisplayName>
        <AccountId>2019</AccountId>
        <AccountType/>
      </UserInfo>
    </SharedWithUsers>
    <_dlc_DocId xmlns="2c7da281-a605-4712-b8f4-62fe026b45ba">CAZ6K6P636TC-211232129-6128</_dlc_DocId>
    <_dlc_DocIdUrl xmlns="2c7da281-a605-4712-b8f4-62fe026b45ba">
      <Url>https://yukoncollege.sharepoint.com/sites/yc/offices/governors/_layouts/15/DocIdRedir.aspx?ID=CAZ6K6P636TC-211232129-6128</Url>
      <Description>CAZ6K6P636TC-211232129-6128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0CB57C90BC5945AA7F49BEECED42FE" ma:contentTypeVersion="11" ma:contentTypeDescription="Create a new document." ma:contentTypeScope="" ma:versionID="2784a459205ab7fbb564d3db12068943">
  <xsd:schema xmlns:xsd="http://www.w3.org/2001/XMLSchema" xmlns:xs="http://www.w3.org/2001/XMLSchema" xmlns:p="http://schemas.microsoft.com/office/2006/metadata/properties" xmlns:ns2="acf9184f-0bd2-4a3c-b9e7-db93c9480c67" xmlns:ns3="2c7da281-a605-4712-b8f4-62fe026b45ba" targetNamespace="http://schemas.microsoft.com/office/2006/metadata/properties" ma:root="true" ma:fieldsID="b9f6ebed01418e6bb73115a921346b3e" ns2:_="" ns3:_="">
    <xsd:import namespace="acf9184f-0bd2-4a3c-b9e7-db93c9480c6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184f-0bd2-4a3c-b9e7-db93c9480c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F21BF-3DBF-4018-8AB9-2E8F8D90EFAD}">
  <ds:schemaRefs>
    <ds:schemaRef ds:uri="http://schemas.microsoft.com/sharepoint/events"/>
  </ds:schemaRefs>
</ds:datastoreItem>
</file>

<file path=customXml/itemProps2.xml><?xml version="1.0" encoding="utf-8"?>
<ds:datastoreItem xmlns:ds="http://schemas.openxmlformats.org/officeDocument/2006/customXml" ds:itemID="{CA01EB67-FEAB-464A-8E7E-E868B9EDA39E}">
  <ds:schemaRefs>
    <ds:schemaRef ds:uri="http://schemas.openxmlformats.org/officeDocument/2006/bibliography"/>
  </ds:schemaRefs>
</ds:datastoreItem>
</file>

<file path=customXml/itemProps3.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4.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 ds:uri="2c7da281-a605-4712-b8f4-62fe026b45ba"/>
  </ds:schemaRefs>
</ds:datastoreItem>
</file>

<file path=customXml/itemProps5.xml><?xml version="1.0" encoding="utf-8"?>
<ds:datastoreItem xmlns:ds="http://schemas.openxmlformats.org/officeDocument/2006/customXml" ds:itemID="{3E72D26F-73B4-4CE0-A143-D4D6382D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184f-0bd2-4a3c-b9e7-db93c9480c67"/>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824</Words>
  <Characters>3942</Characters>
  <Application>Microsoft Office Word</Application>
  <DocSecurity>0</DocSecurity>
  <Lines>109</Lines>
  <Paragraphs>40</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cp:lastModifiedBy>Erin Symington</cp:lastModifiedBy>
  <cp:revision>90</cp:revision>
  <dcterms:created xsi:type="dcterms:W3CDTF">2021-03-25T17:23:00Z</dcterms:created>
  <dcterms:modified xsi:type="dcterms:W3CDTF">2021-07-21T21:44:00Z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0x010100EC0CB57C90BC5945AA7F49BEECED42FE</vt:lpwstr>
  </property>
  <property fmtid="{D5CDD505-2E9C-101B-9397-08002B2CF9AE}" pid="3" name="_dlc_DocIdItemGuid">
    <vt:lpwstr>0cea0276-ba3c-4f5d-8db0-6f6ef8abd4c2</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